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2"/>
        <w:gridCol w:w="4297"/>
      </w:tblGrid>
      <w:tr w:rsidR="002A14F8" w14:paraId="16C496F1" w14:textId="77777777">
        <w:trPr>
          <w:trHeight w:val="1096"/>
        </w:trPr>
        <w:tc>
          <w:tcPr>
            <w:tcW w:w="4702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208837"/>
          </w:tcPr>
          <w:p w14:paraId="0684B86A" w14:textId="77777777" w:rsidR="002A14F8" w:rsidRDefault="003458B8">
            <w:pPr>
              <w:pStyle w:val="TableParagraph"/>
              <w:tabs>
                <w:tab w:val="left" w:pos="3555"/>
              </w:tabs>
              <w:ind w:left="107"/>
              <w:rPr>
                <w:sz w:val="72"/>
              </w:rPr>
            </w:pPr>
            <w:r>
              <w:rPr>
                <w:color w:val="FFFFFF"/>
                <w:spacing w:val="-1"/>
                <w:sz w:val="72"/>
              </w:rPr>
              <w:t>CaDDANZ</w:t>
            </w:r>
            <w:r>
              <w:rPr>
                <w:color w:val="FFFFFF"/>
                <w:spacing w:val="-1"/>
                <w:sz w:val="72"/>
              </w:rPr>
              <w:tab/>
            </w:r>
            <w:r>
              <w:rPr>
                <w:noProof/>
                <w:color w:val="FFFFFF"/>
                <w:sz w:val="72"/>
              </w:rPr>
              <w:drawing>
                <wp:inline distT="0" distB="0" distL="0" distR="0" wp14:anchorId="069D54DF" wp14:editId="5CCDA0FD">
                  <wp:extent cx="434334" cy="407663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334" cy="407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7" w:type="dxa"/>
            <w:tcBorders>
              <w:top w:val="single" w:sz="12" w:space="0" w:color="000000"/>
              <w:right w:val="single" w:sz="12" w:space="0" w:color="000000"/>
            </w:tcBorders>
          </w:tcPr>
          <w:p w14:paraId="2CA37B79" w14:textId="77777777" w:rsidR="002A14F8" w:rsidRDefault="003458B8">
            <w:pPr>
              <w:pStyle w:val="TableParagraph"/>
              <w:spacing w:before="337"/>
              <w:ind w:left="168" w:right="120"/>
              <w:jc w:val="center"/>
              <w:rPr>
                <w:sz w:val="48"/>
              </w:rPr>
            </w:pPr>
            <w:r>
              <w:rPr>
                <w:sz w:val="48"/>
              </w:rPr>
              <w:t>LITERATURE</w:t>
            </w:r>
            <w:r>
              <w:rPr>
                <w:spacing w:val="-24"/>
                <w:sz w:val="48"/>
              </w:rPr>
              <w:t xml:space="preserve"> </w:t>
            </w:r>
            <w:r>
              <w:rPr>
                <w:sz w:val="48"/>
              </w:rPr>
              <w:t>REVIEW</w:t>
            </w:r>
          </w:p>
        </w:tc>
      </w:tr>
      <w:tr w:rsidR="002A14F8" w14:paraId="5A9CE276" w14:textId="77777777">
        <w:trPr>
          <w:trHeight w:val="1412"/>
        </w:trPr>
        <w:tc>
          <w:tcPr>
            <w:tcW w:w="4702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208837"/>
          </w:tcPr>
          <w:p w14:paraId="0EDF680E" w14:textId="77777777" w:rsidR="002A14F8" w:rsidRDefault="003458B8">
            <w:pPr>
              <w:pStyle w:val="TableParagraph"/>
              <w:spacing w:before="117"/>
              <w:ind w:left="107"/>
              <w:rPr>
                <w:sz w:val="32"/>
              </w:rPr>
            </w:pPr>
            <w:r>
              <w:rPr>
                <w:color w:val="FFFFFF"/>
                <w:sz w:val="32"/>
              </w:rPr>
              <w:t>Capturing</w:t>
            </w:r>
            <w:r>
              <w:rPr>
                <w:color w:val="FFFFFF"/>
                <w:spacing w:val="-12"/>
                <w:sz w:val="32"/>
              </w:rPr>
              <w:t xml:space="preserve"> </w:t>
            </w:r>
            <w:r>
              <w:rPr>
                <w:color w:val="FFFFFF"/>
                <w:sz w:val="32"/>
              </w:rPr>
              <w:t>the</w:t>
            </w:r>
            <w:r>
              <w:rPr>
                <w:color w:val="FFFFFF"/>
                <w:spacing w:val="-13"/>
                <w:sz w:val="32"/>
              </w:rPr>
              <w:t xml:space="preserve"> </w:t>
            </w:r>
            <w:r>
              <w:rPr>
                <w:color w:val="FFFFFF"/>
                <w:sz w:val="32"/>
              </w:rPr>
              <w:t>Diversity</w:t>
            </w:r>
          </w:p>
          <w:p w14:paraId="2BA7A606" w14:textId="77777777" w:rsidR="002A14F8" w:rsidRDefault="003458B8">
            <w:pPr>
              <w:pStyle w:val="TableParagraph"/>
              <w:spacing w:before="257"/>
              <w:ind w:left="107"/>
              <w:rPr>
                <w:sz w:val="32"/>
              </w:rPr>
            </w:pPr>
            <w:r>
              <w:rPr>
                <w:color w:val="FFFFFF"/>
                <w:sz w:val="32"/>
              </w:rPr>
              <w:t>Dividend</w:t>
            </w:r>
            <w:r>
              <w:rPr>
                <w:color w:val="FFFFFF"/>
                <w:spacing w:val="-15"/>
                <w:sz w:val="32"/>
              </w:rPr>
              <w:t xml:space="preserve"> </w:t>
            </w:r>
            <w:r>
              <w:rPr>
                <w:color w:val="FFFFFF"/>
                <w:sz w:val="32"/>
              </w:rPr>
              <w:t>of</w:t>
            </w:r>
            <w:r>
              <w:rPr>
                <w:color w:val="FFFFFF"/>
                <w:spacing w:val="-14"/>
                <w:sz w:val="32"/>
              </w:rPr>
              <w:t xml:space="preserve"> </w:t>
            </w:r>
            <w:r>
              <w:rPr>
                <w:color w:val="FFFFFF"/>
                <w:sz w:val="32"/>
              </w:rPr>
              <w:t>Aotearoa</w:t>
            </w:r>
            <w:r>
              <w:rPr>
                <w:color w:val="FFFFFF"/>
                <w:spacing w:val="-14"/>
                <w:sz w:val="32"/>
              </w:rPr>
              <w:t xml:space="preserve"> </w:t>
            </w:r>
            <w:r>
              <w:rPr>
                <w:color w:val="FFFFFF"/>
                <w:sz w:val="32"/>
              </w:rPr>
              <w:t>New</w:t>
            </w:r>
            <w:r>
              <w:rPr>
                <w:color w:val="FFFFFF"/>
                <w:spacing w:val="-16"/>
                <w:sz w:val="32"/>
              </w:rPr>
              <w:t xml:space="preserve"> </w:t>
            </w:r>
            <w:r>
              <w:rPr>
                <w:color w:val="FFFFFF"/>
                <w:sz w:val="32"/>
              </w:rPr>
              <w:t>Zealand</w:t>
            </w:r>
          </w:p>
        </w:tc>
        <w:tc>
          <w:tcPr>
            <w:tcW w:w="4297" w:type="dxa"/>
            <w:tcBorders>
              <w:bottom w:val="single" w:sz="12" w:space="0" w:color="000000"/>
              <w:right w:val="single" w:sz="12" w:space="0" w:color="000000"/>
            </w:tcBorders>
          </w:tcPr>
          <w:p w14:paraId="5998EBDA" w14:textId="77777777" w:rsidR="002A14F8" w:rsidRDefault="003458B8">
            <w:pPr>
              <w:pStyle w:val="TableParagraph"/>
              <w:spacing w:before="252"/>
              <w:ind w:left="167" w:right="120"/>
              <w:jc w:val="center"/>
              <w:rPr>
                <w:sz w:val="40"/>
              </w:rPr>
            </w:pPr>
            <w:r>
              <w:rPr>
                <w:sz w:val="40"/>
              </w:rPr>
              <w:t>14</w:t>
            </w:r>
            <w:r>
              <w:rPr>
                <w:sz w:val="40"/>
                <w:vertAlign w:val="superscript"/>
              </w:rPr>
              <w:t>th</w:t>
            </w:r>
            <w:r>
              <w:rPr>
                <w:spacing w:val="-11"/>
                <w:sz w:val="40"/>
              </w:rPr>
              <w:t xml:space="preserve"> </w:t>
            </w:r>
            <w:r>
              <w:rPr>
                <w:sz w:val="40"/>
              </w:rPr>
              <w:t>April</w:t>
            </w:r>
            <w:r>
              <w:rPr>
                <w:spacing w:val="-9"/>
                <w:sz w:val="40"/>
              </w:rPr>
              <w:t xml:space="preserve"> </w:t>
            </w:r>
            <w:r>
              <w:rPr>
                <w:sz w:val="40"/>
              </w:rPr>
              <w:t>2021</w:t>
            </w:r>
          </w:p>
        </w:tc>
      </w:tr>
    </w:tbl>
    <w:p w14:paraId="4FA8A1A8" w14:textId="77777777" w:rsidR="002A14F8" w:rsidRDefault="002A14F8">
      <w:pPr>
        <w:pStyle w:val="BodyText"/>
        <w:rPr>
          <w:sz w:val="20"/>
        </w:rPr>
      </w:pPr>
    </w:p>
    <w:p w14:paraId="134E8D3D" w14:textId="77777777" w:rsidR="002A14F8" w:rsidRDefault="002A14F8">
      <w:pPr>
        <w:pStyle w:val="BodyText"/>
        <w:rPr>
          <w:sz w:val="20"/>
        </w:rPr>
      </w:pPr>
    </w:p>
    <w:p w14:paraId="478D2385" w14:textId="77777777" w:rsidR="002A14F8" w:rsidRDefault="002A14F8">
      <w:pPr>
        <w:pStyle w:val="BodyText"/>
        <w:rPr>
          <w:sz w:val="20"/>
        </w:rPr>
      </w:pPr>
    </w:p>
    <w:p w14:paraId="0C986E4D" w14:textId="77777777" w:rsidR="002A14F8" w:rsidRDefault="002A14F8">
      <w:pPr>
        <w:pStyle w:val="BodyText"/>
        <w:rPr>
          <w:sz w:val="20"/>
        </w:rPr>
      </w:pPr>
    </w:p>
    <w:p w14:paraId="4ECC304D" w14:textId="77777777" w:rsidR="002A14F8" w:rsidRDefault="002A14F8">
      <w:pPr>
        <w:pStyle w:val="BodyText"/>
        <w:rPr>
          <w:sz w:val="20"/>
        </w:rPr>
      </w:pPr>
    </w:p>
    <w:p w14:paraId="0A65D9E2" w14:textId="77777777" w:rsidR="002A14F8" w:rsidRDefault="002A14F8">
      <w:pPr>
        <w:pStyle w:val="BodyText"/>
        <w:rPr>
          <w:sz w:val="27"/>
        </w:rPr>
      </w:pPr>
    </w:p>
    <w:p w14:paraId="006479C3" w14:textId="77777777" w:rsidR="002A14F8" w:rsidRDefault="003458B8">
      <w:pPr>
        <w:pStyle w:val="Title"/>
        <w:spacing w:line="671" w:lineRule="exact"/>
        <w:ind w:right="817"/>
      </w:pPr>
      <w:r>
        <w:t>Diversity,</w:t>
      </w:r>
      <w:r>
        <w:rPr>
          <w:spacing w:val="-22"/>
        </w:rPr>
        <w:t xml:space="preserve"> </w:t>
      </w:r>
      <w:r>
        <w:t>Belonging</w:t>
      </w:r>
      <w:r>
        <w:rPr>
          <w:spacing w:val="-21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Inclusion</w:t>
      </w:r>
      <w:r>
        <w:rPr>
          <w:spacing w:val="-20"/>
        </w:rPr>
        <w:t xml:space="preserve"> </w:t>
      </w:r>
      <w:r>
        <w:t>in</w:t>
      </w:r>
    </w:p>
    <w:p w14:paraId="299FEC55" w14:textId="77777777" w:rsidR="002A14F8" w:rsidRDefault="003458B8">
      <w:pPr>
        <w:pStyle w:val="Title"/>
      </w:pPr>
      <w:r>
        <w:rPr>
          <w:spacing w:val="-1"/>
        </w:rPr>
        <w:t>Aotearoa</w:t>
      </w:r>
      <w:r>
        <w:rPr>
          <w:spacing w:val="-27"/>
        </w:rPr>
        <w:t xml:space="preserve"> </w:t>
      </w:r>
      <w:r>
        <w:t>New</w:t>
      </w:r>
      <w:r>
        <w:rPr>
          <w:spacing w:val="-29"/>
        </w:rPr>
        <w:t xml:space="preserve"> </w:t>
      </w:r>
      <w:r>
        <w:t>Zealand:</w:t>
      </w:r>
      <w:r>
        <w:rPr>
          <w:spacing w:val="-26"/>
        </w:rPr>
        <w:t xml:space="preserve"> </w:t>
      </w:r>
      <w:r>
        <w:t>a</w:t>
      </w:r>
      <w:r>
        <w:rPr>
          <w:spacing w:val="-30"/>
        </w:rPr>
        <w:t xml:space="preserve"> </w:t>
      </w:r>
      <w:r>
        <w:t>review</w:t>
      </w:r>
      <w:r>
        <w:rPr>
          <w:spacing w:val="-29"/>
        </w:rPr>
        <w:t xml:space="preserve"> </w:t>
      </w:r>
      <w:r>
        <w:t>of</w:t>
      </w:r>
      <w:r>
        <w:rPr>
          <w:spacing w:val="-124"/>
        </w:rPr>
        <w:t xml:space="preserve"> </w:t>
      </w:r>
      <w:r>
        <w:t>consultation and community</w:t>
      </w:r>
      <w:r>
        <w:rPr>
          <w:spacing w:val="1"/>
        </w:rPr>
        <w:t xml:space="preserve"> </w:t>
      </w:r>
      <w:r>
        <w:t>engagement</w:t>
      </w:r>
    </w:p>
    <w:p w14:paraId="773A3F16" w14:textId="77777777" w:rsidR="002A14F8" w:rsidRDefault="002A14F8">
      <w:pPr>
        <w:pStyle w:val="BodyText"/>
        <w:spacing w:before="11"/>
        <w:rPr>
          <w:rFonts w:ascii="Calibri Light"/>
          <w:sz w:val="69"/>
        </w:rPr>
      </w:pPr>
    </w:p>
    <w:p w14:paraId="10931ECA" w14:textId="77777777" w:rsidR="002A14F8" w:rsidRDefault="003458B8">
      <w:pPr>
        <w:spacing w:line="360" w:lineRule="auto"/>
        <w:ind w:left="862" w:right="821"/>
        <w:jc w:val="center"/>
        <w:rPr>
          <w:rFonts w:ascii="Arial" w:hAnsi="Arial"/>
          <w:i/>
        </w:rPr>
      </w:pPr>
      <w:r>
        <w:rPr>
          <w:rFonts w:ascii="Arial" w:hAnsi="Arial"/>
          <w:i/>
          <w:color w:val="212121"/>
        </w:rPr>
        <w:t>This section of the literature review has been updated on 20 April 2021. References to</w:t>
      </w:r>
      <w:r>
        <w:rPr>
          <w:rFonts w:ascii="Arial" w:hAnsi="Arial"/>
          <w:i/>
          <w:color w:val="212121"/>
          <w:spacing w:val="-59"/>
        </w:rPr>
        <w:t xml:space="preserve"> </w:t>
      </w:r>
      <w:r>
        <w:rPr>
          <w:rFonts w:ascii="Arial" w:hAnsi="Arial"/>
          <w:i/>
          <w:color w:val="212121"/>
        </w:rPr>
        <w:t>‘elderly’</w:t>
      </w:r>
      <w:r>
        <w:rPr>
          <w:rFonts w:ascii="Arial" w:hAnsi="Arial"/>
          <w:i/>
          <w:color w:val="212121"/>
          <w:spacing w:val="-6"/>
        </w:rPr>
        <w:t xml:space="preserve"> </w:t>
      </w:r>
      <w:r>
        <w:rPr>
          <w:rFonts w:ascii="Arial" w:hAnsi="Arial"/>
          <w:i/>
          <w:color w:val="212121"/>
        </w:rPr>
        <w:t>have been replaced</w:t>
      </w:r>
      <w:r>
        <w:rPr>
          <w:rFonts w:ascii="Arial" w:hAnsi="Arial"/>
          <w:i/>
          <w:color w:val="212121"/>
          <w:spacing w:val="-3"/>
        </w:rPr>
        <w:t xml:space="preserve"> </w:t>
      </w:r>
      <w:r>
        <w:rPr>
          <w:rFonts w:ascii="Arial" w:hAnsi="Arial"/>
          <w:i/>
          <w:color w:val="212121"/>
        </w:rPr>
        <w:t>with ‘older people’.</w:t>
      </w:r>
    </w:p>
    <w:p w14:paraId="7710DF28" w14:textId="77777777" w:rsidR="002A14F8" w:rsidRDefault="002A14F8">
      <w:pPr>
        <w:pStyle w:val="BodyText"/>
        <w:rPr>
          <w:rFonts w:ascii="Arial"/>
          <w:i/>
          <w:sz w:val="24"/>
        </w:rPr>
      </w:pPr>
    </w:p>
    <w:p w14:paraId="5D4DEF13" w14:textId="77777777" w:rsidR="002A14F8" w:rsidRDefault="002A14F8">
      <w:pPr>
        <w:pStyle w:val="BodyText"/>
        <w:rPr>
          <w:rFonts w:ascii="Arial"/>
          <w:i/>
          <w:sz w:val="24"/>
        </w:rPr>
      </w:pPr>
    </w:p>
    <w:p w14:paraId="11D99B53" w14:textId="77777777" w:rsidR="002A14F8" w:rsidRDefault="002A14F8">
      <w:pPr>
        <w:pStyle w:val="BodyText"/>
        <w:rPr>
          <w:rFonts w:ascii="Arial"/>
          <w:i/>
          <w:sz w:val="24"/>
        </w:rPr>
      </w:pPr>
    </w:p>
    <w:p w14:paraId="64287673" w14:textId="77777777" w:rsidR="002A14F8" w:rsidRDefault="002A14F8">
      <w:pPr>
        <w:pStyle w:val="BodyText"/>
        <w:spacing w:before="3"/>
        <w:rPr>
          <w:rFonts w:ascii="Arial"/>
          <w:i/>
          <w:sz w:val="30"/>
        </w:rPr>
      </w:pPr>
    </w:p>
    <w:p w14:paraId="7F54F590" w14:textId="77777777" w:rsidR="002A14F8" w:rsidRDefault="003458B8">
      <w:pPr>
        <w:pStyle w:val="Heading2"/>
      </w:pPr>
      <w:r>
        <w:t>Dr.</w:t>
      </w:r>
      <w:r>
        <w:rPr>
          <w:spacing w:val="-15"/>
        </w:rPr>
        <w:t xml:space="preserve"> </w:t>
      </w:r>
      <w:r>
        <w:t>Rogena</w:t>
      </w:r>
      <w:r>
        <w:rPr>
          <w:spacing w:val="-16"/>
        </w:rPr>
        <w:t xml:space="preserve"> </w:t>
      </w:r>
      <w:r>
        <w:t>Sterling</w:t>
      </w:r>
      <w:r>
        <w:rPr>
          <w:spacing w:val="-18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Kyle</w:t>
      </w:r>
      <w:r>
        <w:rPr>
          <w:spacing w:val="-16"/>
        </w:rPr>
        <w:t xml:space="preserve"> </w:t>
      </w:r>
      <w:r>
        <w:t>K.H.</w:t>
      </w:r>
      <w:r>
        <w:rPr>
          <w:spacing w:val="-16"/>
        </w:rPr>
        <w:t xml:space="preserve"> </w:t>
      </w:r>
      <w:r>
        <w:t>Tan</w:t>
      </w:r>
    </w:p>
    <w:p w14:paraId="795D82B4" w14:textId="77777777" w:rsidR="002A14F8" w:rsidRDefault="002A14F8">
      <w:pPr>
        <w:pStyle w:val="BodyText"/>
        <w:rPr>
          <w:rFonts w:ascii="Calibri Light"/>
          <w:sz w:val="20"/>
        </w:rPr>
      </w:pPr>
    </w:p>
    <w:p w14:paraId="136C3B17" w14:textId="77777777" w:rsidR="002A14F8" w:rsidRDefault="002A14F8">
      <w:pPr>
        <w:pStyle w:val="BodyText"/>
        <w:rPr>
          <w:rFonts w:ascii="Calibri Light"/>
          <w:sz w:val="20"/>
        </w:rPr>
      </w:pPr>
    </w:p>
    <w:p w14:paraId="3A239309" w14:textId="77777777" w:rsidR="002A14F8" w:rsidRDefault="003458B8">
      <w:pPr>
        <w:pStyle w:val="BodyText"/>
        <w:spacing w:before="5"/>
        <w:rPr>
          <w:rFonts w:ascii="Calibri Light"/>
          <w:sz w:val="25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7A5E9AB" wp14:editId="13022435">
            <wp:simplePos x="0" y="0"/>
            <wp:positionH relativeFrom="page">
              <wp:posOffset>643890</wp:posOffset>
            </wp:positionH>
            <wp:positionV relativeFrom="paragraph">
              <wp:posOffset>842428</wp:posOffset>
            </wp:positionV>
            <wp:extent cx="3518540" cy="851916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8540" cy="851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5433CBFC" wp14:editId="62256E5E">
            <wp:simplePos x="0" y="0"/>
            <wp:positionH relativeFrom="page">
              <wp:posOffset>4667250</wp:posOffset>
            </wp:positionH>
            <wp:positionV relativeFrom="paragraph">
              <wp:posOffset>221780</wp:posOffset>
            </wp:positionV>
            <wp:extent cx="2212510" cy="1888236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2510" cy="1888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CC8429" w14:textId="77777777" w:rsidR="002A14F8" w:rsidRDefault="002A14F8">
      <w:pPr>
        <w:rPr>
          <w:rFonts w:ascii="Calibri Light"/>
          <w:sz w:val="25"/>
        </w:rPr>
        <w:sectPr w:rsidR="002A14F8">
          <w:type w:val="continuous"/>
          <w:pgSz w:w="11910" w:h="16840"/>
          <w:pgMar w:top="1420" w:right="940" w:bottom="280" w:left="90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</w:sectPr>
      </w:pPr>
    </w:p>
    <w:p w14:paraId="1DF6BBBD" w14:textId="77777777" w:rsidR="002A14F8" w:rsidRDefault="002A14F8">
      <w:pPr>
        <w:pStyle w:val="BodyText"/>
        <w:rPr>
          <w:rFonts w:ascii="Calibri Light"/>
          <w:sz w:val="20"/>
        </w:rPr>
      </w:pPr>
    </w:p>
    <w:p w14:paraId="1D8D06E6" w14:textId="77777777" w:rsidR="002A14F8" w:rsidRDefault="002A14F8">
      <w:pPr>
        <w:pStyle w:val="BodyText"/>
        <w:rPr>
          <w:rFonts w:ascii="Calibri Light"/>
          <w:sz w:val="20"/>
        </w:rPr>
      </w:pPr>
    </w:p>
    <w:p w14:paraId="464E69BD" w14:textId="77777777" w:rsidR="002A14F8" w:rsidRDefault="002A14F8">
      <w:pPr>
        <w:pStyle w:val="BodyText"/>
        <w:rPr>
          <w:rFonts w:ascii="Calibri Light"/>
          <w:sz w:val="20"/>
        </w:rPr>
      </w:pPr>
    </w:p>
    <w:p w14:paraId="493B5CBD" w14:textId="77777777" w:rsidR="002A14F8" w:rsidRDefault="002A14F8">
      <w:pPr>
        <w:pStyle w:val="BodyText"/>
        <w:rPr>
          <w:rFonts w:ascii="Calibri Light"/>
          <w:sz w:val="20"/>
        </w:rPr>
      </w:pPr>
    </w:p>
    <w:p w14:paraId="056199C7" w14:textId="77777777" w:rsidR="002A14F8" w:rsidRDefault="002A14F8">
      <w:pPr>
        <w:pStyle w:val="BodyText"/>
        <w:spacing w:before="5"/>
        <w:rPr>
          <w:rFonts w:ascii="Calibri Light"/>
          <w:sz w:val="27"/>
        </w:rPr>
      </w:pPr>
    </w:p>
    <w:p w14:paraId="0C5515FA" w14:textId="77777777" w:rsidR="002A14F8" w:rsidRDefault="003458B8">
      <w:pPr>
        <w:pStyle w:val="BodyText"/>
        <w:spacing w:before="56" w:line="276" w:lineRule="auto"/>
        <w:ind w:left="540" w:right="487"/>
        <w:rPr>
          <w:rFonts w:ascii="Calibri"/>
        </w:rPr>
      </w:pPr>
      <w:r>
        <w:rPr>
          <w:rFonts w:ascii="Calibri"/>
        </w:rPr>
        <w:t>The Inclusive Aotearoa Collective (IAC) project was developed around the concepts of connection,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kinship and belonging.</w:t>
      </w:r>
      <w:r>
        <w:rPr>
          <w:rFonts w:ascii="Calibri"/>
          <w:spacing w:val="49"/>
        </w:rPr>
        <w:t xml:space="preserve"> </w:t>
      </w:r>
      <w:r>
        <w:rPr>
          <w:rFonts w:ascii="Calibri"/>
        </w:rPr>
        <w:t>It is about cultivating an Aotearoa New Zealand founded on the partnership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 xml:space="preserve">of Te Tiriti o Waitangi that provides a place for all. Their </w:t>
      </w:r>
      <w:r>
        <w:rPr>
          <w:rFonts w:ascii="Calibri"/>
        </w:rPr>
        <w:t>vision is of a collaboration of people across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the country committed to building a socially inclusive Aotearoa New Zealand. To achieve this vision,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the IAC will develop a Diversity &amp; Inclusion Strategy which will bring diverse groups together in a way</w:t>
      </w:r>
      <w:r>
        <w:rPr>
          <w:rFonts w:ascii="Calibri"/>
          <w:spacing w:val="-48"/>
        </w:rPr>
        <w:t xml:space="preserve"> </w:t>
      </w:r>
      <w:r>
        <w:rPr>
          <w:rFonts w:ascii="Calibri"/>
        </w:rPr>
        <w:t>that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will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empower communities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build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strengthen actions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at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regional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local level.</w:t>
      </w:r>
    </w:p>
    <w:p w14:paraId="3738D184" w14:textId="77777777" w:rsidR="002A14F8" w:rsidRDefault="002A14F8">
      <w:pPr>
        <w:pStyle w:val="BodyText"/>
        <w:spacing w:before="4"/>
        <w:rPr>
          <w:rFonts w:ascii="Calibri"/>
          <w:sz w:val="16"/>
        </w:rPr>
      </w:pPr>
    </w:p>
    <w:p w14:paraId="19CA898D" w14:textId="77777777" w:rsidR="002A14F8" w:rsidRDefault="003458B8">
      <w:pPr>
        <w:pStyle w:val="BodyText"/>
        <w:spacing w:line="276" w:lineRule="auto"/>
        <w:ind w:left="540" w:right="562"/>
        <w:rPr>
          <w:rFonts w:ascii="Calibri" w:hAnsi="Calibri"/>
        </w:rPr>
      </w:pPr>
      <w:r>
        <w:rPr>
          <w:rFonts w:ascii="Calibri" w:hAnsi="Calibri"/>
        </w:rPr>
        <w:t>IAC has approached the National Institute of Demographic and Economic Analysis and the Capturing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the Diversity Dividend of Aotearoa New Zealand research project at the University of Waikato for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research support – namely to lead a review into previously-held consultation with community and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 xml:space="preserve">Government organisations and subsequent documentation of these </w:t>
      </w:r>
      <w:r>
        <w:rPr>
          <w:rFonts w:ascii="Calibri" w:hAnsi="Calibri"/>
        </w:rPr>
        <w:t>consultations. We have been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delighted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to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contribute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to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this important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work.</w:t>
      </w:r>
    </w:p>
    <w:p w14:paraId="0A0B9C79" w14:textId="77777777" w:rsidR="002A14F8" w:rsidRDefault="002A14F8">
      <w:pPr>
        <w:pStyle w:val="BodyText"/>
        <w:rPr>
          <w:rFonts w:ascii="Calibri"/>
        </w:rPr>
      </w:pPr>
    </w:p>
    <w:p w14:paraId="7A7E94E9" w14:textId="77777777" w:rsidR="002A14F8" w:rsidRDefault="002A14F8">
      <w:pPr>
        <w:pStyle w:val="BodyText"/>
        <w:rPr>
          <w:rFonts w:ascii="Calibri"/>
        </w:rPr>
      </w:pPr>
    </w:p>
    <w:p w14:paraId="6523AF5F" w14:textId="77777777" w:rsidR="002A14F8" w:rsidRDefault="003458B8">
      <w:pPr>
        <w:pStyle w:val="BodyText"/>
        <w:spacing w:before="173"/>
        <w:ind w:left="540"/>
        <w:rPr>
          <w:rFonts w:ascii="Calibri"/>
        </w:rPr>
      </w:pPr>
      <w:r>
        <w:rPr>
          <w:rFonts w:ascii="Calibri"/>
        </w:rPr>
        <w:t>The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authors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can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be contacted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at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Email:</w:t>
      </w:r>
      <w:r>
        <w:rPr>
          <w:rFonts w:ascii="Calibri"/>
          <w:spacing w:val="2"/>
        </w:rPr>
        <w:t xml:space="preserve"> </w:t>
      </w:r>
      <w:hyperlink r:id="rId10">
        <w:r>
          <w:rPr>
            <w:rFonts w:ascii="Calibri"/>
            <w:color w:val="0462C1"/>
            <w:u w:val="single" w:color="0462C1"/>
          </w:rPr>
          <w:t>c</w:t>
        </w:r>
        <w:r>
          <w:rPr>
            <w:color w:val="0000FF"/>
            <w:u w:val="single" w:color="0462C1"/>
          </w:rPr>
          <w:t>addanz@waikato.ac.nz</w:t>
        </w:r>
        <w:r>
          <w:rPr>
            <w:color w:val="0000FF"/>
            <w:spacing w:val="-6"/>
          </w:rPr>
          <w:t xml:space="preserve"> </w:t>
        </w:r>
      </w:hyperlink>
      <w:r>
        <w:rPr>
          <w:rFonts w:ascii="Calibri"/>
        </w:rPr>
        <w:t>or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Phone: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07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837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9199</w:t>
      </w:r>
    </w:p>
    <w:p w14:paraId="250BABC0" w14:textId="77777777" w:rsidR="002A14F8" w:rsidRDefault="002A14F8">
      <w:pPr>
        <w:pStyle w:val="BodyText"/>
        <w:spacing w:before="6"/>
        <w:rPr>
          <w:rFonts w:ascii="Calibri"/>
          <w:sz w:val="12"/>
        </w:rPr>
      </w:pPr>
    </w:p>
    <w:p w14:paraId="4BC8AF3A" w14:textId="77777777" w:rsidR="002A14F8" w:rsidRDefault="003458B8">
      <w:pPr>
        <w:pStyle w:val="BodyText"/>
        <w:spacing w:before="88" w:line="276" w:lineRule="auto"/>
        <w:ind w:left="540" w:right="2896"/>
        <w:rPr>
          <w:rFonts w:ascii="Calibri"/>
        </w:rPr>
      </w:pPr>
      <w:r>
        <w:rPr>
          <w:rFonts w:ascii="Calibri"/>
        </w:rPr>
        <w:t xml:space="preserve">For more information about CaDDANZ visit </w:t>
      </w:r>
      <w:hyperlink r:id="rId11">
        <w:r>
          <w:rPr>
            <w:color w:val="0000FF"/>
            <w:u w:val="single" w:color="0000FF"/>
          </w:rPr>
          <w:t>www.caddanz.org.nz</w:t>
        </w:r>
        <w:r>
          <w:rPr>
            <w:color w:val="0000FF"/>
          </w:rPr>
          <w:t xml:space="preserve"> </w:t>
        </w:r>
      </w:hyperlink>
      <w:r>
        <w:rPr>
          <w:rFonts w:ascii="Calibri"/>
        </w:rPr>
        <w:t>or NIDEA</w:t>
      </w:r>
      <w:r>
        <w:rPr>
          <w:rFonts w:ascii="Calibri"/>
          <w:spacing w:val="-47"/>
        </w:rPr>
        <w:t xml:space="preserve"> </w:t>
      </w:r>
      <w:hyperlink r:id="rId12">
        <w:r>
          <w:rPr>
            <w:rFonts w:ascii="Calibri"/>
            <w:color w:val="0000FF"/>
            <w:u w:val="single" w:color="0000FF"/>
          </w:rPr>
          <w:t>www.waikato.ac.nz/nidea</w:t>
        </w:r>
      </w:hyperlink>
      <w:r>
        <w:rPr>
          <w:rFonts w:ascii="Calibri"/>
        </w:rPr>
        <w:t>/</w:t>
      </w:r>
    </w:p>
    <w:p w14:paraId="6CF73309" w14:textId="77777777" w:rsidR="002A14F8" w:rsidRDefault="002A14F8">
      <w:pPr>
        <w:pStyle w:val="BodyText"/>
        <w:rPr>
          <w:rFonts w:ascii="Calibri"/>
          <w:sz w:val="20"/>
        </w:rPr>
      </w:pPr>
    </w:p>
    <w:p w14:paraId="626DE0D8" w14:textId="77777777" w:rsidR="002A14F8" w:rsidRDefault="002A14F8">
      <w:pPr>
        <w:pStyle w:val="BodyText"/>
        <w:rPr>
          <w:rFonts w:ascii="Calibri"/>
          <w:sz w:val="20"/>
        </w:rPr>
      </w:pPr>
    </w:p>
    <w:p w14:paraId="2C57B2FC" w14:textId="77777777" w:rsidR="002A14F8" w:rsidRDefault="002A14F8">
      <w:pPr>
        <w:pStyle w:val="BodyText"/>
        <w:spacing w:before="1"/>
        <w:rPr>
          <w:rFonts w:ascii="Calibri"/>
          <w:sz w:val="23"/>
        </w:rPr>
      </w:pPr>
    </w:p>
    <w:tbl>
      <w:tblPr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005"/>
        <w:gridCol w:w="3008"/>
      </w:tblGrid>
      <w:tr w:rsidR="002A14F8" w14:paraId="1AF89815" w14:textId="77777777">
        <w:trPr>
          <w:trHeight w:val="1353"/>
        </w:trPr>
        <w:tc>
          <w:tcPr>
            <w:tcW w:w="3005" w:type="dxa"/>
          </w:tcPr>
          <w:p w14:paraId="3B7A3255" w14:textId="77777777" w:rsidR="002A14F8" w:rsidRDefault="002A14F8">
            <w:pPr>
              <w:pStyle w:val="TableParagraph"/>
              <w:spacing w:before="2" w:after="1"/>
              <w:rPr>
                <w:rFonts w:ascii="Calibri"/>
                <w:sz w:val="26"/>
              </w:rPr>
            </w:pPr>
          </w:p>
          <w:p w14:paraId="59E9B6FA" w14:textId="77777777" w:rsidR="002A14F8" w:rsidRDefault="003458B8">
            <w:pPr>
              <w:pStyle w:val="TableParagraph"/>
              <w:ind w:left="294"/>
              <w:rPr>
                <w:rFonts w:ascii="Calibri"/>
                <w:sz w:val="20"/>
              </w:rPr>
            </w:pPr>
            <w:r>
              <w:rPr>
                <w:rFonts w:ascii="Calibri"/>
                <w:noProof/>
                <w:sz w:val="20"/>
              </w:rPr>
              <w:drawing>
                <wp:inline distT="0" distB="0" distL="0" distR="0" wp14:anchorId="5107F499" wp14:editId="393F735D">
                  <wp:extent cx="1474498" cy="446436"/>
                  <wp:effectExtent l="0" t="0" r="0" b="0"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4498" cy="446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14:paraId="761D7553" w14:textId="77777777" w:rsidR="002A14F8" w:rsidRDefault="002A14F8">
            <w:pPr>
              <w:pStyle w:val="TableParagraph"/>
              <w:rPr>
                <w:rFonts w:ascii="Calibri"/>
                <w:sz w:val="20"/>
              </w:rPr>
            </w:pPr>
          </w:p>
          <w:p w14:paraId="632AEF8E" w14:textId="77777777" w:rsidR="002A14F8" w:rsidRDefault="002A14F8">
            <w:pPr>
              <w:pStyle w:val="TableParagraph"/>
              <w:spacing w:before="11" w:after="1"/>
              <w:rPr>
                <w:rFonts w:ascii="Calibri"/>
                <w:sz w:val="10"/>
              </w:rPr>
            </w:pPr>
          </w:p>
          <w:p w14:paraId="013504EA" w14:textId="77777777" w:rsidR="002A14F8" w:rsidRDefault="003458B8">
            <w:pPr>
              <w:pStyle w:val="TableParagraph"/>
              <w:ind w:left="285"/>
              <w:rPr>
                <w:rFonts w:ascii="Calibri"/>
                <w:sz w:val="20"/>
              </w:rPr>
            </w:pPr>
            <w:r>
              <w:rPr>
                <w:rFonts w:ascii="Calibri"/>
                <w:noProof/>
                <w:sz w:val="20"/>
              </w:rPr>
              <w:drawing>
                <wp:inline distT="0" distB="0" distL="0" distR="0" wp14:anchorId="52399232" wp14:editId="05AA7916">
                  <wp:extent cx="1402779" cy="536448"/>
                  <wp:effectExtent l="0" t="0" r="0" b="0"/>
                  <wp:docPr id="9" name="image5.jpeg" descr="Waik_Word_RGB_H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779" cy="536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8" w:type="dxa"/>
          </w:tcPr>
          <w:p w14:paraId="6A0A2ED1" w14:textId="77777777" w:rsidR="002A14F8" w:rsidRDefault="002A14F8">
            <w:pPr>
              <w:pStyle w:val="TableParagraph"/>
              <w:rPr>
                <w:rFonts w:ascii="Calibri"/>
                <w:sz w:val="20"/>
              </w:rPr>
            </w:pPr>
          </w:p>
          <w:p w14:paraId="23B2EF68" w14:textId="77777777" w:rsidR="002A14F8" w:rsidRDefault="002A14F8">
            <w:pPr>
              <w:pStyle w:val="TableParagraph"/>
              <w:spacing w:before="8"/>
              <w:rPr>
                <w:rFonts w:ascii="Calibri"/>
                <w:sz w:val="21"/>
              </w:rPr>
            </w:pPr>
          </w:p>
          <w:p w14:paraId="229721CE" w14:textId="77777777" w:rsidR="002A14F8" w:rsidRDefault="003458B8">
            <w:pPr>
              <w:pStyle w:val="TableParagraph"/>
              <w:ind w:left="107"/>
              <w:rPr>
                <w:rFonts w:ascii="Calibri"/>
                <w:sz w:val="20"/>
              </w:rPr>
            </w:pPr>
            <w:r>
              <w:rPr>
                <w:rFonts w:ascii="Calibri"/>
                <w:noProof/>
                <w:sz w:val="20"/>
              </w:rPr>
              <w:drawing>
                <wp:inline distT="0" distB="0" distL="0" distR="0" wp14:anchorId="77F3EA33" wp14:editId="636CA2FB">
                  <wp:extent cx="1669022" cy="378809"/>
                  <wp:effectExtent l="0" t="0" r="0" b="0"/>
                  <wp:docPr id="11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9022" cy="378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EF129A" w14:textId="77777777" w:rsidR="002A14F8" w:rsidRDefault="002A14F8">
      <w:pPr>
        <w:rPr>
          <w:rFonts w:ascii="Calibri"/>
          <w:sz w:val="20"/>
        </w:rPr>
        <w:sectPr w:rsidR="002A14F8">
          <w:pgSz w:w="11910" w:h="16840"/>
          <w:pgMar w:top="1580" w:right="940" w:bottom="280" w:left="900" w:header="720" w:footer="720" w:gutter="0"/>
          <w:cols w:space="720"/>
        </w:sectPr>
      </w:pPr>
    </w:p>
    <w:p w14:paraId="67A987E4" w14:textId="77777777" w:rsidR="002A14F8" w:rsidRDefault="002A14F8">
      <w:pPr>
        <w:pStyle w:val="BodyText"/>
        <w:spacing w:before="4"/>
        <w:rPr>
          <w:rFonts w:ascii="Calibri"/>
          <w:sz w:val="16"/>
        </w:rPr>
      </w:pPr>
    </w:p>
    <w:p w14:paraId="6DCF2FE2" w14:textId="77777777" w:rsidR="002A14F8" w:rsidRDefault="002A14F8">
      <w:pPr>
        <w:rPr>
          <w:rFonts w:ascii="Calibri"/>
          <w:sz w:val="16"/>
        </w:rPr>
        <w:sectPr w:rsidR="002A14F8">
          <w:pgSz w:w="11910" w:h="16840"/>
          <w:pgMar w:top="1580" w:right="940" w:bottom="280" w:left="900" w:header="720" w:footer="720" w:gutter="0"/>
          <w:cols w:space="720"/>
        </w:sectPr>
      </w:pPr>
    </w:p>
    <w:p w14:paraId="406CED2F" w14:textId="77777777" w:rsidR="002A14F8" w:rsidRDefault="003458B8">
      <w:pPr>
        <w:spacing w:before="59"/>
        <w:ind w:left="540"/>
        <w:rPr>
          <w:b/>
          <w:sz w:val="36"/>
        </w:rPr>
      </w:pPr>
      <w:bookmarkStart w:id="0" w:name="_bookmark0"/>
      <w:bookmarkEnd w:id="0"/>
      <w:r>
        <w:rPr>
          <w:b/>
          <w:sz w:val="36"/>
        </w:rPr>
        <w:lastRenderedPageBreak/>
        <w:t>Contents</w:t>
      </w:r>
    </w:p>
    <w:sdt>
      <w:sdtPr>
        <w:id w:val="542335993"/>
        <w:docPartObj>
          <w:docPartGallery w:val="Table of Contents"/>
          <w:docPartUnique/>
        </w:docPartObj>
      </w:sdtPr>
      <w:sdtEndPr/>
      <w:sdtContent>
        <w:p w14:paraId="2DD3F61F" w14:textId="77777777" w:rsidR="002A14F8" w:rsidRDefault="003458B8">
          <w:pPr>
            <w:pStyle w:val="TOC1"/>
            <w:tabs>
              <w:tab w:val="right" w:leader="dot" w:pos="9558"/>
            </w:tabs>
            <w:spacing w:before="691"/>
          </w:pPr>
          <w:hyperlink w:anchor="_bookmark0" w:history="1">
            <w:r>
              <w:t>Executive</w:t>
            </w:r>
            <w:r>
              <w:rPr>
                <w:spacing w:val="-1"/>
              </w:rPr>
              <w:t xml:space="preserve"> </w:t>
            </w:r>
            <w:r>
              <w:t>Summary</w:t>
            </w:r>
            <w:r>
              <w:tab/>
              <w:t>1</w:t>
            </w:r>
          </w:hyperlink>
        </w:p>
        <w:p w14:paraId="3795D921" w14:textId="77777777" w:rsidR="002A14F8" w:rsidRDefault="003458B8">
          <w:pPr>
            <w:pStyle w:val="TOC1"/>
            <w:tabs>
              <w:tab w:val="right" w:leader="dot" w:pos="9558"/>
            </w:tabs>
          </w:pPr>
          <w:hyperlink w:anchor="_bookmark1" w:history="1">
            <w:r>
              <w:t>Rainbow</w:t>
            </w:r>
            <w:r>
              <w:rPr>
                <w:spacing w:val="-1"/>
              </w:rPr>
              <w:t xml:space="preserve"> </w:t>
            </w:r>
            <w:r>
              <w:t>Community</w:t>
            </w:r>
            <w:r>
              <w:tab/>
              <w:t>4</w:t>
            </w:r>
          </w:hyperlink>
        </w:p>
        <w:p w14:paraId="0AB7A6FA" w14:textId="77777777" w:rsidR="002A14F8" w:rsidRDefault="003458B8">
          <w:pPr>
            <w:pStyle w:val="TOC1"/>
            <w:tabs>
              <w:tab w:val="right" w:leader="dot" w:pos="9558"/>
            </w:tabs>
            <w:spacing w:before="122"/>
          </w:pPr>
          <w:hyperlink w:anchor="_bookmark2" w:history="1">
            <w:r>
              <w:t>Youth</w:t>
            </w:r>
            <w:r>
              <w:tab/>
              <w:t>7</w:t>
            </w:r>
          </w:hyperlink>
        </w:p>
        <w:p w14:paraId="428D6C15" w14:textId="77777777" w:rsidR="002A14F8" w:rsidRDefault="003458B8">
          <w:pPr>
            <w:pStyle w:val="TOC1"/>
            <w:tabs>
              <w:tab w:val="right" w:leader="dot" w:pos="9558"/>
            </w:tabs>
          </w:pPr>
          <w:hyperlink w:anchor="_bookmark3" w:history="1">
            <w:r>
              <w:t>Disability</w:t>
            </w:r>
            <w:r>
              <w:tab/>
              <w:t>10</w:t>
            </w:r>
          </w:hyperlink>
        </w:p>
        <w:p w14:paraId="4678425C" w14:textId="77777777" w:rsidR="002A14F8" w:rsidRDefault="003458B8">
          <w:pPr>
            <w:pStyle w:val="TOC1"/>
            <w:tabs>
              <w:tab w:val="right" w:leader="dot" w:pos="9558"/>
            </w:tabs>
          </w:pPr>
          <w:hyperlink w:anchor="_bookmark4" w:history="1">
            <w:r>
              <w:t>Older</w:t>
            </w:r>
            <w:r>
              <w:rPr>
                <w:spacing w:val="-2"/>
              </w:rPr>
              <w:t xml:space="preserve"> </w:t>
            </w:r>
            <w:r>
              <w:t>people</w:t>
            </w:r>
            <w:r>
              <w:tab/>
              <w:t>13</w:t>
            </w:r>
          </w:hyperlink>
        </w:p>
        <w:p w14:paraId="0E96B05F" w14:textId="77777777" w:rsidR="002A14F8" w:rsidRDefault="003458B8">
          <w:pPr>
            <w:pStyle w:val="TOC1"/>
            <w:tabs>
              <w:tab w:val="right" w:leader="dot" w:pos="9558"/>
            </w:tabs>
            <w:spacing w:before="121"/>
          </w:pPr>
          <w:hyperlink w:anchor="_bookmark5" w:history="1">
            <w:r>
              <w:t>Tāngata Whenua</w:t>
            </w:r>
            <w:r>
              <w:tab/>
              <w:t>15</w:t>
            </w:r>
          </w:hyperlink>
        </w:p>
        <w:p w14:paraId="45F8E409" w14:textId="77777777" w:rsidR="002A14F8" w:rsidRDefault="003458B8">
          <w:pPr>
            <w:pStyle w:val="TOC1"/>
            <w:tabs>
              <w:tab w:val="right" w:leader="dot" w:pos="9558"/>
            </w:tabs>
          </w:pPr>
          <w:hyperlink w:anchor="_bookmark6" w:history="1">
            <w:r>
              <w:t>Ethnic</w:t>
            </w:r>
            <w:r>
              <w:rPr>
                <w:spacing w:val="-1"/>
              </w:rPr>
              <w:t xml:space="preserve"> </w:t>
            </w:r>
            <w:r>
              <w:t>Communities</w:t>
            </w:r>
            <w:r>
              <w:tab/>
              <w:t>18</w:t>
            </w:r>
          </w:hyperlink>
        </w:p>
        <w:p w14:paraId="7850F798" w14:textId="77777777" w:rsidR="002A14F8" w:rsidRDefault="003458B8">
          <w:pPr>
            <w:pStyle w:val="TOC1"/>
            <w:tabs>
              <w:tab w:val="right" w:leader="dot" w:pos="9558"/>
            </w:tabs>
            <w:spacing w:before="122"/>
          </w:pPr>
          <w:hyperlink w:anchor="_bookmark7" w:history="1">
            <w:r>
              <w:t>References</w:t>
            </w:r>
            <w:r>
              <w:tab/>
              <w:t>22</w:t>
            </w:r>
          </w:hyperlink>
        </w:p>
      </w:sdtContent>
    </w:sdt>
    <w:p w14:paraId="5537899D" w14:textId="77777777" w:rsidR="002A14F8" w:rsidRDefault="002A14F8">
      <w:pPr>
        <w:sectPr w:rsidR="002A14F8">
          <w:pgSz w:w="11910" w:h="16840"/>
          <w:pgMar w:top="1360" w:right="940" w:bottom="280" w:left="900" w:header="720" w:footer="720" w:gutter="0"/>
          <w:cols w:space="720"/>
        </w:sectPr>
      </w:pPr>
    </w:p>
    <w:p w14:paraId="4EA72E91" w14:textId="77777777" w:rsidR="002A14F8" w:rsidRDefault="003458B8">
      <w:pPr>
        <w:pStyle w:val="Heading1"/>
        <w:spacing w:before="79"/>
      </w:pPr>
      <w:r>
        <w:lastRenderedPageBreak/>
        <w:t>Executive</w:t>
      </w:r>
      <w:r>
        <w:rPr>
          <w:spacing w:val="-2"/>
        </w:rPr>
        <w:t xml:space="preserve"> </w:t>
      </w:r>
      <w:r>
        <w:t>Summary</w:t>
      </w:r>
    </w:p>
    <w:p w14:paraId="7EB2450B" w14:textId="77777777" w:rsidR="002A14F8" w:rsidRDefault="003458B8">
      <w:pPr>
        <w:pStyle w:val="BodyText"/>
        <w:spacing w:before="31" w:line="259" w:lineRule="auto"/>
        <w:ind w:left="540" w:right="633"/>
      </w:pPr>
      <w:r>
        <w:t xml:space="preserve">This literature review presents an overview of consultation that has taken place on </w:t>
      </w:r>
      <w:r>
        <w:rPr>
          <w:color w:val="212121"/>
        </w:rPr>
        <w:t>issues of diversity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and inclusion in Aotearo</w:t>
      </w:r>
      <w:r>
        <w:rPr>
          <w:color w:val="212121"/>
        </w:rPr>
        <w:t>a New Zealand. This review was undertaken by the Capturing the Diversity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Dividend of Aotearoa/New Zealand (CaDDANZ) research programme on behalf of the Inclusive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Aotearoa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Collective.</w:t>
      </w:r>
    </w:p>
    <w:p w14:paraId="180FA512" w14:textId="77777777" w:rsidR="002A14F8" w:rsidRDefault="003458B8">
      <w:pPr>
        <w:pStyle w:val="BodyText"/>
        <w:spacing w:before="160" w:line="256" w:lineRule="auto"/>
        <w:ind w:left="540" w:right="578"/>
      </w:pPr>
      <w:r>
        <w:t>This report focuses on the acceptance of different kinds of human diversi</w:t>
      </w:r>
      <w:r>
        <w:t>ty in society and the barriers</w:t>
      </w:r>
      <w:r>
        <w:rPr>
          <w:spacing w:val="-52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face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inclusion and</w:t>
      </w:r>
      <w:r>
        <w:rPr>
          <w:spacing w:val="-1"/>
        </w:rPr>
        <w:t xml:space="preserve"> </w:t>
      </w:r>
      <w:r>
        <w:t>belonging.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centres around</w:t>
      </w:r>
      <w:r>
        <w:rPr>
          <w:spacing w:val="-4"/>
        </w:rPr>
        <w:t xml:space="preserve"> </w:t>
      </w:r>
      <w:r>
        <w:t>two key</w:t>
      </w:r>
      <w:r>
        <w:rPr>
          <w:spacing w:val="-2"/>
        </w:rPr>
        <w:t xml:space="preserve"> </w:t>
      </w:r>
      <w:r>
        <w:t>questions:</w:t>
      </w:r>
    </w:p>
    <w:p w14:paraId="2B3C5093" w14:textId="77777777" w:rsidR="002A14F8" w:rsidRDefault="003458B8">
      <w:pPr>
        <w:pStyle w:val="ListParagraph"/>
        <w:numPr>
          <w:ilvl w:val="0"/>
          <w:numId w:val="3"/>
        </w:numPr>
        <w:tabs>
          <w:tab w:val="left" w:pos="1260"/>
          <w:tab w:val="left" w:pos="1261"/>
        </w:tabs>
        <w:spacing w:before="164" w:line="259" w:lineRule="auto"/>
        <w:ind w:right="670"/>
        <w:rPr>
          <w:sz w:val="21"/>
        </w:rPr>
      </w:pPr>
      <w:r>
        <w:rPr>
          <w:sz w:val="21"/>
        </w:rPr>
        <w:t xml:space="preserve">What </w:t>
      </w:r>
      <w:r>
        <w:rPr>
          <w:color w:val="212121"/>
          <w:sz w:val="21"/>
        </w:rPr>
        <w:t>prevents/are the barriers to individuals and communities being who they want to be, and to</w:t>
      </w:r>
      <w:r>
        <w:rPr>
          <w:color w:val="212121"/>
          <w:spacing w:val="-50"/>
          <w:sz w:val="21"/>
        </w:rPr>
        <w:t xml:space="preserve"> </w:t>
      </w:r>
      <w:r>
        <w:rPr>
          <w:color w:val="212121"/>
          <w:sz w:val="21"/>
        </w:rPr>
        <w:t>establishing</w:t>
      </w:r>
      <w:r>
        <w:rPr>
          <w:color w:val="212121"/>
          <w:spacing w:val="-1"/>
          <w:sz w:val="21"/>
        </w:rPr>
        <w:t xml:space="preserve"> </w:t>
      </w:r>
      <w:r>
        <w:rPr>
          <w:color w:val="212121"/>
          <w:sz w:val="21"/>
        </w:rPr>
        <w:t>a sense of</w:t>
      </w:r>
      <w:r>
        <w:rPr>
          <w:color w:val="212121"/>
          <w:spacing w:val="-1"/>
          <w:sz w:val="21"/>
        </w:rPr>
        <w:t xml:space="preserve"> </w:t>
      </w:r>
      <w:r>
        <w:rPr>
          <w:color w:val="212121"/>
          <w:sz w:val="21"/>
        </w:rPr>
        <w:t>belonging?</w:t>
      </w:r>
    </w:p>
    <w:p w14:paraId="43EBD13F" w14:textId="77777777" w:rsidR="002A14F8" w:rsidRDefault="003458B8">
      <w:pPr>
        <w:pStyle w:val="ListParagraph"/>
        <w:numPr>
          <w:ilvl w:val="0"/>
          <w:numId w:val="3"/>
        </w:numPr>
        <w:tabs>
          <w:tab w:val="left" w:pos="1260"/>
          <w:tab w:val="left" w:pos="1261"/>
        </w:tabs>
        <w:spacing w:line="256" w:lineRule="auto"/>
        <w:ind w:right="571"/>
        <w:rPr>
          <w:sz w:val="21"/>
        </w:rPr>
      </w:pPr>
      <w:r>
        <w:rPr>
          <w:color w:val="212121"/>
          <w:sz w:val="21"/>
        </w:rPr>
        <w:t>What needs to change to make enable individuals and communities to be who they want to be and</w:t>
      </w:r>
      <w:r>
        <w:rPr>
          <w:color w:val="212121"/>
          <w:spacing w:val="-50"/>
          <w:sz w:val="21"/>
        </w:rPr>
        <w:t xml:space="preserve"> </w:t>
      </w:r>
      <w:r>
        <w:rPr>
          <w:color w:val="212121"/>
          <w:sz w:val="21"/>
        </w:rPr>
        <w:t>feel</w:t>
      </w:r>
      <w:r>
        <w:rPr>
          <w:color w:val="212121"/>
          <w:spacing w:val="-3"/>
          <w:sz w:val="21"/>
        </w:rPr>
        <w:t xml:space="preserve"> </w:t>
      </w:r>
      <w:r>
        <w:rPr>
          <w:color w:val="212121"/>
          <w:sz w:val="21"/>
        </w:rPr>
        <w:t>like they</w:t>
      </w:r>
      <w:r>
        <w:rPr>
          <w:color w:val="212121"/>
          <w:spacing w:val="-5"/>
          <w:sz w:val="21"/>
        </w:rPr>
        <w:t xml:space="preserve"> </w:t>
      </w:r>
      <w:r>
        <w:rPr>
          <w:color w:val="212121"/>
          <w:sz w:val="21"/>
        </w:rPr>
        <w:t>belong in society?</w:t>
      </w:r>
    </w:p>
    <w:p w14:paraId="48C7406B" w14:textId="77777777" w:rsidR="002A14F8" w:rsidRDefault="003458B8">
      <w:pPr>
        <w:pStyle w:val="BodyText"/>
        <w:spacing w:before="165" w:line="256" w:lineRule="auto"/>
        <w:ind w:left="540" w:right="578"/>
      </w:pPr>
      <w:r>
        <w:rPr>
          <w:color w:val="212121"/>
        </w:rPr>
        <w:t>The communities who are the focus of this report are incredibly diverse and even within these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communities there is significant h</w:t>
      </w:r>
      <w:r>
        <w:rPr>
          <w:color w:val="212121"/>
        </w:rPr>
        <w:t>eterogeneity. As such the issues faced are varied and may or may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overlap. In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common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desire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have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society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inclusive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provides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belonging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all.</w:t>
      </w:r>
    </w:p>
    <w:p w14:paraId="1EFF1D3E" w14:textId="77777777" w:rsidR="002A14F8" w:rsidRDefault="003458B8">
      <w:pPr>
        <w:pStyle w:val="BodyText"/>
        <w:spacing w:before="167" w:line="259" w:lineRule="auto"/>
        <w:ind w:left="540" w:right="572"/>
      </w:pPr>
      <w:r>
        <w:rPr>
          <w:color w:val="212121"/>
        </w:rPr>
        <w:t>Because views on diversity and inclusion are expressed in a range of fora and forms, t</w:t>
      </w:r>
      <w:r>
        <w:rPr>
          <w:color w:val="212121"/>
        </w:rPr>
        <w:t>he report uses a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broad definition of consultation, using documents that infer that consultation has occurred or that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gather together people’s perspectives in a manner akin to consultation. The review has looked at the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following communities, broadly defined</w:t>
      </w:r>
      <w:r>
        <w:rPr>
          <w:color w:val="212121"/>
        </w:rPr>
        <w:t>: Rainbow, Youth, Disabilities (including neuro-diverse),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older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people,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Tangata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whenua, 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Ethnic.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 time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frame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consideration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was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2014-2019.</w:t>
      </w:r>
    </w:p>
    <w:p w14:paraId="3C119B3B" w14:textId="77777777" w:rsidR="002A14F8" w:rsidRDefault="003458B8">
      <w:pPr>
        <w:pStyle w:val="BodyText"/>
        <w:spacing w:line="254" w:lineRule="auto"/>
        <w:ind w:left="540" w:right="725"/>
      </w:pPr>
      <w:r>
        <w:rPr>
          <w:color w:val="212121"/>
        </w:rPr>
        <w:t>However, there were some documents included that were published outside this time frame because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addressed matters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essential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to the project.</w:t>
      </w:r>
    </w:p>
    <w:p w14:paraId="0A7CF9C2" w14:textId="77777777" w:rsidR="002A14F8" w:rsidRDefault="003458B8">
      <w:pPr>
        <w:pStyle w:val="BodyText"/>
        <w:spacing w:before="169" w:line="259" w:lineRule="auto"/>
        <w:ind w:left="540" w:right="498"/>
      </w:pPr>
      <w:r>
        <w:rPr>
          <w:color w:val="212121"/>
        </w:rPr>
        <w:t>The review has highlighted that health and wellbeing are significant issues for all communities. Some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individua</w:t>
      </w:r>
      <w:r>
        <w:rPr>
          <w:color w:val="212121"/>
        </w:rPr>
        <w:t>ls from all of these communities have suffered from mental illness and mental distress from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being excluded and marginalised. Though all have access to the health system, certain communities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have more health issues than others. The disabled, rainbow, and ol</w:t>
      </w:r>
      <w:r>
        <w:rPr>
          <w:color w:val="212121"/>
        </w:rPr>
        <w:t>der people communities have issues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with access to health care or how such health care is provided. The older people and the disabled also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require care services that are more accessible and better funded. The health system is slow to adapt 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bicultural mod</w:t>
      </w:r>
      <w:r>
        <w:rPr>
          <w:color w:val="212121"/>
        </w:rPr>
        <w:t>els of health, especially in terms of providing for Māori health models. Cultural health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competency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health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care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also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lacking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much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system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despite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rhetoric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that states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otherwise.</w:t>
      </w:r>
    </w:p>
    <w:p w14:paraId="77863A5A" w14:textId="77777777" w:rsidR="002A14F8" w:rsidRDefault="003458B8">
      <w:pPr>
        <w:pStyle w:val="BodyText"/>
        <w:spacing w:before="160" w:line="259" w:lineRule="auto"/>
        <w:ind w:left="540" w:right="510"/>
      </w:pPr>
      <w:r>
        <w:rPr>
          <w:color w:val="212121"/>
        </w:rPr>
        <w:t>Education was also identified as a factor for most of communities and centred on two issues: 1) public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education of diversity and inclusion (or the lack of it) and 2) the education system itself. A number of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reports and consultations have indicated that mo</w:t>
      </w:r>
      <w:r>
        <w:rPr>
          <w:color w:val="212121"/>
        </w:rPr>
        <w:t>re needs to be done regarding public education in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relation to diversity of Aotearoa and the need for an inclusive and participatory society. This lack is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exemplified by increasing reports of racism, sexism, and hate speech and attacks on both individuals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</w:t>
      </w:r>
      <w:r>
        <w:rPr>
          <w:color w:val="212121"/>
        </w:rPr>
        <w:t>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groups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 wide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range of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minoritised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communities.</w:t>
      </w:r>
    </w:p>
    <w:p w14:paraId="73797558" w14:textId="77777777" w:rsidR="002A14F8" w:rsidRDefault="003458B8">
      <w:pPr>
        <w:pStyle w:val="BodyText"/>
        <w:spacing w:before="158" w:line="259" w:lineRule="auto"/>
        <w:ind w:left="540" w:right="589"/>
      </w:pPr>
      <w:r>
        <w:rPr>
          <w:color w:val="212121"/>
        </w:rPr>
        <w:t>The education system itself is also seen as an issue for many of communities. Education is situated in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colonial, heteronormative ideologies and as such fails to meet the needs of many of communities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b</w:t>
      </w:r>
      <w:r>
        <w:rPr>
          <w:color w:val="212121"/>
        </w:rPr>
        <w:t>ecause these ideologies actively marginalise people who are seen as different. Reports discussed in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this review suggest there is a need for greater cultural and sex/gender competency. From a disabled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perspective, there are issues with access both physicall</w:t>
      </w:r>
      <w:r>
        <w:rPr>
          <w:color w:val="212121"/>
        </w:rPr>
        <w:t>y and in regard to material and information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about relevant education. There is a need to provide activities and events within education providers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to enable different communities to feel belonging and feel respected while at the same time enabling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other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com</w:t>
      </w:r>
      <w:r>
        <w:rPr>
          <w:color w:val="212121"/>
        </w:rPr>
        <w:t>munities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to understand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them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 gain respect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them.</w:t>
      </w:r>
    </w:p>
    <w:p w14:paraId="1597AB7B" w14:textId="77777777" w:rsidR="002A14F8" w:rsidRDefault="003458B8">
      <w:pPr>
        <w:pStyle w:val="BodyText"/>
        <w:spacing w:before="157" w:line="259" w:lineRule="auto"/>
        <w:ind w:left="540" w:right="487"/>
      </w:pPr>
      <w:r>
        <w:rPr>
          <w:color w:val="212121"/>
        </w:rPr>
        <w:t>The issue of employment was noted in consultation undertaken with many communities. Some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communities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feel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stigma against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them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within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employment.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Muslim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women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felt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particular.</w:t>
      </w:r>
    </w:p>
    <w:p w14:paraId="769A408F" w14:textId="77777777" w:rsidR="002A14F8" w:rsidRDefault="002A14F8">
      <w:pPr>
        <w:spacing w:line="259" w:lineRule="auto"/>
        <w:sectPr w:rsidR="002A14F8">
          <w:footerReference w:type="default" r:id="rId16"/>
          <w:pgSz w:w="11910" w:h="16840"/>
          <w:pgMar w:top="1580" w:right="940" w:bottom="1200" w:left="900" w:header="0" w:footer="1010" w:gutter="0"/>
          <w:pgNumType w:start="1"/>
          <w:cols w:space="720"/>
        </w:sectPr>
      </w:pPr>
    </w:p>
    <w:p w14:paraId="16AB949B" w14:textId="77777777" w:rsidR="002A14F8" w:rsidRDefault="003458B8">
      <w:pPr>
        <w:pStyle w:val="BodyText"/>
        <w:spacing w:before="78" w:line="259" w:lineRule="auto"/>
        <w:ind w:left="540" w:right="933"/>
      </w:pPr>
      <w:r>
        <w:rPr>
          <w:color w:val="212121"/>
        </w:rPr>
        <w:lastRenderedPageBreak/>
        <w:t>There are not sufficient equal opportunities to enter and progress within the workforce. There is a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 xml:space="preserve">greater need to incorporate sex/gender diversity, as well as </w:t>
      </w:r>
      <w:r>
        <w:t>cultural and religious diversity in</w:t>
      </w:r>
      <w:r>
        <w:rPr>
          <w:spacing w:val="1"/>
        </w:rPr>
        <w:t xml:space="preserve"> </w:t>
      </w:r>
      <w:r>
        <w:t>workplaces.</w:t>
      </w:r>
    </w:p>
    <w:p w14:paraId="4F70AC17" w14:textId="77777777" w:rsidR="002A14F8" w:rsidRDefault="003458B8">
      <w:pPr>
        <w:pStyle w:val="BodyText"/>
        <w:spacing w:before="159" w:line="259" w:lineRule="auto"/>
        <w:ind w:left="540" w:right="730"/>
      </w:pPr>
      <w:r>
        <w:rPr>
          <w:color w:val="212121"/>
        </w:rPr>
        <w:t>A c</w:t>
      </w:r>
      <w:r>
        <w:rPr>
          <w:color w:val="212121"/>
        </w:rPr>
        <w:t>entral theme highlighted in consultation amongst almost all of the groups is marginalisation.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Society has had a particular perspective of individual and community differences that take shape in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stereotypes which lead to discrimination and marginalisation o</w:t>
      </w:r>
      <w:r>
        <w:rPr>
          <w:color w:val="212121"/>
        </w:rPr>
        <w:t>f most of these communities. Racism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sexism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have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been noted as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having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 substantial impact on the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inclusion of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communities.</w:t>
      </w:r>
    </w:p>
    <w:p w14:paraId="3086C785" w14:textId="77777777" w:rsidR="002A14F8" w:rsidRDefault="003458B8">
      <w:pPr>
        <w:pStyle w:val="BodyText"/>
        <w:spacing w:line="259" w:lineRule="auto"/>
        <w:ind w:left="540" w:right="553"/>
      </w:pPr>
      <w:r>
        <w:rPr>
          <w:color w:val="212121"/>
        </w:rPr>
        <w:t>Discrimination does not only occur from dominant to minority groups in Aotearoa, but can also occur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between and within communitie</w:t>
      </w:r>
      <w:r>
        <w:rPr>
          <w:color w:val="212121"/>
        </w:rPr>
        <w:t>s, such as particular religious or ethnic groups’ views toward the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rainbow community. The affect is not only stigmatising, but also influences wellbeing and the ability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to participate fully and freely in society. </w:t>
      </w:r>
      <w:r>
        <w:t>Exclusion is typically a feeling of acute a</w:t>
      </w:r>
      <w:r>
        <w:t>lienation, and for</w:t>
      </w:r>
      <w:r>
        <w:rPr>
          <w:spacing w:val="1"/>
        </w:rPr>
        <w:t xml:space="preserve"> </w:t>
      </w:r>
      <w:r>
        <w:t>youth</w:t>
      </w:r>
      <w:r>
        <w:rPr>
          <w:spacing w:val="-1"/>
        </w:rPr>
        <w:t xml:space="preserve"> </w:t>
      </w:r>
      <w:r>
        <w:t>in particular,</w:t>
      </w:r>
      <w:r>
        <w:rPr>
          <w:spacing w:val="-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exclusion</w:t>
      </w:r>
      <w:r>
        <w:rPr>
          <w:spacing w:val="-4"/>
        </w:rPr>
        <w:t xml:space="preserve"> </w:t>
      </w:r>
      <w:r>
        <w:t>(along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discrimination) is</w:t>
      </w:r>
      <w:r>
        <w:rPr>
          <w:spacing w:val="-3"/>
        </w:rPr>
        <w:t xml:space="preserve"> </w:t>
      </w:r>
      <w:r>
        <w:t>experienced as</w:t>
      </w:r>
      <w:r>
        <w:rPr>
          <w:spacing w:val="-3"/>
        </w:rPr>
        <w:t xml:space="preserve"> </w:t>
      </w:r>
      <w:r>
        <w:t>pervasive</w:t>
      </w:r>
      <w:r>
        <w:rPr>
          <w:vertAlign w:val="superscript"/>
        </w:rPr>
        <w:t>1</w:t>
      </w:r>
      <w:r>
        <w:t>.</w:t>
      </w:r>
    </w:p>
    <w:p w14:paraId="3DA11900" w14:textId="77777777" w:rsidR="002A14F8" w:rsidRDefault="003458B8">
      <w:pPr>
        <w:pStyle w:val="BodyText"/>
        <w:spacing w:line="259" w:lineRule="auto"/>
        <w:ind w:left="540" w:right="584"/>
      </w:pPr>
      <w:r>
        <w:t>Exclusion breeds exclusion (in vicious cycles) and inclusion breeds inclusion (in virtuous cycles)</w:t>
      </w:r>
      <w:r>
        <w:rPr>
          <w:vertAlign w:val="superscript"/>
        </w:rPr>
        <w:t>1</w:t>
      </w:r>
      <w:r>
        <w:t>.</w:t>
      </w:r>
      <w:r>
        <w:rPr>
          <w:spacing w:val="1"/>
        </w:rPr>
        <w:t xml:space="preserve"> </w:t>
      </w:r>
      <w:r>
        <w:t>Where there were supportive families/whānau and networks, people have felt included, at least to a</w:t>
      </w:r>
      <w:r>
        <w:rPr>
          <w:spacing w:val="1"/>
        </w:rPr>
        <w:t xml:space="preserve"> </w:t>
      </w:r>
      <w:r>
        <w:t xml:space="preserve">limited extent, but otherwise </w:t>
      </w:r>
      <w:r>
        <w:rPr>
          <w:color w:val="212121"/>
        </w:rPr>
        <w:t xml:space="preserve">they developed </w:t>
      </w:r>
      <w:r>
        <w:t xml:space="preserve">strategies </w:t>
      </w:r>
      <w:r>
        <w:t>to hide mental distress from others and/or safe</w:t>
      </w:r>
      <w:r>
        <w:rPr>
          <w:spacing w:val="-52"/>
        </w:rPr>
        <w:t xml:space="preserve"> </w:t>
      </w:r>
      <w:r>
        <w:t>havens</w:t>
      </w:r>
      <w:r>
        <w:rPr>
          <w:spacing w:val="-1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 wider exclusionary</w:t>
      </w:r>
      <w:r>
        <w:rPr>
          <w:spacing w:val="-3"/>
        </w:rPr>
        <w:t xml:space="preserve"> </w:t>
      </w:r>
      <w:r>
        <w:t>community</w:t>
      </w:r>
      <w:r>
        <w:rPr>
          <w:vertAlign w:val="superscript"/>
        </w:rPr>
        <w:t>1</w:t>
      </w:r>
      <w:r>
        <w:t>.</w:t>
      </w:r>
    </w:p>
    <w:p w14:paraId="6848ED1D" w14:textId="77777777" w:rsidR="002A14F8" w:rsidRDefault="003458B8">
      <w:pPr>
        <w:pStyle w:val="BodyText"/>
        <w:spacing w:before="157" w:line="259" w:lineRule="auto"/>
        <w:ind w:left="540" w:right="896"/>
      </w:pPr>
      <w:r>
        <w:rPr>
          <w:color w:val="212121"/>
        </w:rPr>
        <w:t>A feeling of fear and lack of safety are also of concern for many communities. Safety concerns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associated with the fear of verbal and/or physical attack, in pa</w:t>
      </w:r>
      <w:r>
        <w:rPr>
          <w:color w:val="212121"/>
        </w:rPr>
        <w:t>rticular for women and the rainbow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community but also ethnic and the disabled communities as well, restrict them from being able to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participate in society and negatively impacts on their health and wellbeing. People need to be safe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being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who they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are or wh</w:t>
      </w:r>
      <w:r>
        <w:rPr>
          <w:color w:val="212121"/>
        </w:rPr>
        <w:t>at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believe;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also need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1"/>
        </w:rPr>
        <w:t xml:space="preserve"> </w:t>
      </w:r>
      <w:r>
        <w:rPr>
          <w:i/>
          <w:color w:val="212121"/>
        </w:rPr>
        <w:t>feel</w:t>
      </w:r>
      <w:r>
        <w:rPr>
          <w:i/>
          <w:color w:val="212121"/>
          <w:spacing w:val="1"/>
        </w:rPr>
        <w:t xml:space="preserve"> </w:t>
      </w:r>
      <w:r>
        <w:rPr>
          <w:color w:val="212121"/>
        </w:rPr>
        <w:t>safe.</w:t>
      </w:r>
    </w:p>
    <w:p w14:paraId="50BD62C0" w14:textId="77777777" w:rsidR="002A14F8" w:rsidRDefault="003458B8">
      <w:pPr>
        <w:pStyle w:val="BodyText"/>
        <w:spacing w:before="161" w:line="259" w:lineRule="auto"/>
        <w:ind w:left="540" w:right="511"/>
      </w:pPr>
      <w:r>
        <w:rPr>
          <w:color w:val="212121"/>
        </w:rPr>
        <w:t>In addition to racism, sexism, and other forms of marginalisation, many of these communities also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report facing structural inequities in attaining employment, financial, health, crime and equitable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outcomes. </w:t>
      </w:r>
      <w:r>
        <w:t>R</w:t>
      </w:r>
      <w:r>
        <w:rPr>
          <w:color w:val="212121"/>
        </w:rPr>
        <w:t>eports suggest that it is time to move from a deficit theory model to a social model that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considers what barriers need to be removed in the face of the inequities that these communities face</w:t>
      </w:r>
      <w:r>
        <w:rPr>
          <w:vertAlign w:val="superscript"/>
        </w:rPr>
        <w:t>2</w:t>
      </w:r>
      <w:r>
        <w:rPr>
          <w:color w:val="212121"/>
        </w:rPr>
        <w:t>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National structures are deeply rooted in colonial, patriarchal </w:t>
      </w:r>
      <w:r>
        <w:rPr>
          <w:color w:val="212121"/>
        </w:rPr>
        <w:t>ideologies that have inhibited meaningful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change</w:t>
      </w:r>
      <w:r>
        <w:rPr>
          <w:vertAlign w:val="superscript"/>
        </w:rPr>
        <w:t>2</w:t>
      </w:r>
      <w:r>
        <w:rPr>
          <w:color w:val="212121"/>
        </w:rPr>
        <w:t>. To provide equality to all people, there are special measures required to ensure equal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outcomes including “</w:t>
      </w:r>
      <w:r>
        <w:t>access to decent work, healthy affordable housing, and effective delivery of</w:t>
      </w:r>
      <w:r>
        <w:rPr>
          <w:spacing w:val="1"/>
        </w:rPr>
        <w:t xml:space="preserve"> </w:t>
      </w:r>
      <w:r>
        <w:t>health,</w:t>
      </w:r>
      <w:r>
        <w:rPr>
          <w:spacing w:val="-1"/>
        </w:rPr>
        <w:t xml:space="preserve"> </w:t>
      </w:r>
      <w:r>
        <w:t>education and</w:t>
      </w:r>
      <w:r>
        <w:t xml:space="preserve"> other</w:t>
      </w:r>
      <w:r>
        <w:rPr>
          <w:spacing w:val="-2"/>
        </w:rPr>
        <w:t xml:space="preserve"> </w:t>
      </w:r>
      <w:r>
        <w:t>services”</w:t>
      </w:r>
      <w:r>
        <w:rPr>
          <w:vertAlign w:val="superscript"/>
        </w:rPr>
        <w:t>2</w:t>
      </w:r>
      <w:r>
        <w:t>.</w:t>
      </w:r>
    </w:p>
    <w:p w14:paraId="0C824B33" w14:textId="77777777" w:rsidR="002A14F8" w:rsidRDefault="003458B8">
      <w:pPr>
        <w:pStyle w:val="BodyText"/>
        <w:spacing w:before="159" w:line="259" w:lineRule="auto"/>
        <w:ind w:left="540" w:right="608"/>
      </w:pPr>
      <w:r>
        <w:rPr>
          <w:color w:val="212121"/>
        </w:rPr>
        <w:t>Most of these communities have indicated the importance of supportive networks. These networks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have been important to provide a means of support when they are marginalised and often isolated.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Support networks require allies to help the broader society to be a more inclusive and caring society.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 xml:space="preserve">Advocates from these support networks need more support </w:t>
      </w:r>
      <w:r>
        <w:rPr>
          <w:color w:val="212121"/>
        </w:rPr>
        <w:t>from government and other sources (such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as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philanthropy) to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enable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continued work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in this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area.</w:t>
      </w:r>
    </w:p>
    <w:p w14:paraId="7D8BA922" w14:textId="77777777" w:rsidR="002A14F8" w:rsidRDefault="003458B8">
      <w:pPr>
        <w:pStyle w:val="BodyText"/>
        <w:spacing w:before="158" w:line="259" w:lineRule="auto"/>
        <w:ind w:left="540" w:right="487"/>
      </w:pPr>
      <w:r>
        <w:t>Diversity for its own sake, as a public good, and as a vision for a future society remains to be</w:t>
      </w:r>
      <w:r>
        <w:rPr>
          <w:spacing w:val="1"/>
        </w:rPr>
        <w:t xml:space="preserve"> </w:t>
      </w:r>
      <w:r>
        <w:t>articulated</w:t>
      </w:r>
      <w:r>
        <w:rPr>
          <w:vertAlign w:val="superscript"/>
        </w:rPr>
        <w:t>3</w:t>
      </w:r>
      <w:r>
        <w:t>.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greatest efforts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inclusive</w:t>
      </w:r>
      <w:r>
        <w:rPr>
          <w:spacing w:val="-1"/>
        </w:rPr>
        <w:t xml:space="preserve"> </w:t>
      </w:r>
      <w:r>
        <w:t>policy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level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design,</w:t>
      </w:r>
      <w:r>
        <w:rPr>
          <w:spacing w:val="-1"/>
        </w:rPr>
        <w:t xml:space="preserve"> </w:t>
      </w:r>
      <w:r>
        <w:t>primarily</w:t>
      </w:r>
      <w:r>
        <w:rPr>
          <w:spacing w:val="-5"/>
        </w:rPr>
        <w:t xml:space="preserve"> </w:t>
      </w:r>
      <w:r>
        <w:t>by</w:t>
      </w:r>
      <w:r>
        <w:rPr>
          <w:spacing w:val="-52"/>
        </w:rPr>
        <w:t xml:space="preserve"> </w:t>
      </w:r>
      <w:r>
        <w:t>maximising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presence of</w:t>
      </w:r>
      <w:r>
        <w:rPr>
          <w:spacing w:val="-2"/>
        </w:rPr>
        <w:t xml:space="preserve"> </w:t>
      </w:r>
      <w:r>
        <w:t>members</w:t>
      </w:r>
      <w:r>
        <w:rPr>
          <w:spacing w:val="-1"/>
        </w:rPr>
        <w:t xml:space="preserve"> </w:t>
      </w:r>
      <w:r>
        <w:t>and promoting</w:t>
      </w:r>
      <w:r>
        <w:rPr>
          <w:spacing w:val="-4"/>
        </w:rPr>
        <w:t xml:space="preserve"> </w:t>
      </w:r>
      <w:r>
        <w:t>visibility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communities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difference.</w:t>
      </w:r>
    </w:p>
    <w:p w14:paraId="71E473BC" w14:textId="77777777" w:rsidR="002A14F8" w:rsidRDefault="003458B8">
      <w:pPr>
        <w:pStyle w:val="BodyText"/>
        <w:spacing w:line="259" w:lineRule="auto"/>
        <w:ind w:left="540" w:right="1164"/>
      </w:pPr>
      <w:r>
        <w:t>Inclusionary policy making has had some impact in response to a rise of neo-conservatism that</w:t>
      </w:r>
      <w:r>
        <w:rPr>
          <w:spacing w:val="-52"/>
        </w:rPr>
        <w:t xml:space="preserve"> </w:t>
      </w:r>
      <w:r>
        <w:t>compromises the inclusio</w:t>
      </w:r>
      <w:r>
        <w:t>n of communities</w:t>
      </w:r>
      <w:r>
        <w:rPr>
          <w:vertAlign w:val="superscript"/>
        </w:rPr>
        <w:t>4</w:t>
      </w:r>
      <w:r>
        <w:t>. However, policy efforts have to date had limited</w:t>
      </w:r>
      <w:r>
        <w:rPr>
          <w:spacing w:val="1"/>
        </w:rPr>
        <w:t xml:space="preserve"> </w:t>
      </w:r>
      <w:r>
        <w:t>transformational</w:t>
      </w:r>
      <w:r>
        <w:rPr>
          <w:spacing w:val="-4"/>
        </w:rPr>
        <w:t xml:space="preserve"> </w:t>
      </w:r>
      <w:r>
        <w:t>impact in</w:t>
      </w:r>
      <w:r>
        <w:rPr>
          <w:spacing w:val="-4"/>
        </w:rPr>
        <w:t xml:space="preserve"> </w:t>
      </w:r>
      <w:r>
        <w:t>advancing the</w:t>
      </w:r>
      <w:r>
        <w:rPr>
          <w:spacing w:val="-1"/>
        </w:rPr>
        <w:t xml:space="preserve"> </w:t>
      </w:r>
      <w:r>
        <w:t>wider</w:t>
      </w:r>
      <w:r>
        <w:rPr>
          <w:spacing w:val="-1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inclusion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diverse</w:t>
      </w:r>
      <w:r>
        <w:rPr>
          <w:spacing w:val="-1"/>
        </w:rPr>
        <w:t xml:space="preserve"> </w:t>
      </w:r>
      <w:r>
        <w:t>communities</w:t>
      </w:r>
      <w:r>
        <w:rPr>
          <w:vertAlign w:val="superscript"/>
        </w:rPr>
        <w:t>4</w:t>
      </w:r>
      <w:r>
        <w:t>.</w:t>
      </w:r>
    </w:p>
    <w:p w14:paraId="6438F333" w14:textId="77777777" w:rsidR="002A14F8" w:rsidRDefault="003458B8">
      <w:pPr>
        <w:pStyle w:val="BodyText"/>
        <w:spacing w:before="159" w:line="259" w:lineRule="auto"/>
        <w:ind w:left="540" w:right="508"/>
      </w:pPr>
      <w:r>
        <w:t>The review canvassed a wide range of material that affirms that everyone should feel that they</w:t>
      </w:r>
      <w:r>
        <w:rPr>
          <w:spacing w:val="1"/>
        </w:rPr>
        <w:t xml:space="preserve"> </w:t>
      </w:r>
      <w:r>
        <w:t>belo</w:t>
      </w:r>
      <w:r>
        <w:t>ng</w:t>
      </w:r>
      <w:r>
        <w:rPr>
          <w:vertAlign w:val="superscript"/>
        </w:rPr>
        <w:t>5</w:t>
      </w:r>
      <w:r>
        <w:t>. All people need to have a sense of belonging, feel connected, secure, safe, accepted (able to</w:t>
      </w:r>
      <w:r>
        <w:rPr>
          <w:spacing w:val="1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who/what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able</w:t>
      </w:r>
      <w:r>
        <w:rPr>
          <w:spacing w:val="1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freely express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views)</w:t>
      </w:r>
      <w:r>
        <w:rPr>
          <w:spacing w:val="1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valued</w:t>
      </w:r>
      <w:r>
        <w:rPr>
          <w:vertAlign w:val="superscript"/>
        </w:rPr>
        <w:t>5</w:t>
      </w:r>
      <w:r>
        <w:t>.</w:t>
      </w:r>
      <w:r>
        <w:rPr>
          <w:spacing w:val="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diverse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inclusive society requires opportunities to learn about others. That is, there are opportunities to teach</w:t>
      </w:r>
      <w:r>
        <w:rPr>
          <w:spacing w:val="1"/>
        </w:rPr>
        <w:t xml:space="preserve"> </w:t>
      </w:r>
      <w:r>
        <w:t>and learn, to hold dialogues with different peoples, to continue to communicate in times of celebration</w:t>
      </w:r>
      <w:r>
        <w:rPr>
          <w:spacing w:val="-52"/>
        </w:rPr>
        <w:t xml:space="preserve"> </w:t>
      </w:r>
      <w:r>
        <w:t>and adversity, and to influence others to be c</w:t>
      </w:r>
      <w:r>
        <w:t>omfortable with diversity. A key point highlighted in</w:t>
      </w:r>
      <w:r>
        <w:rPr>
          <w:spacing w:val="1"/>
        </w:rPr>
        <w:t xml:space="preserve"> </w:t>
      </w:r>
      <w:r>
        <w:t>consultation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 need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societal</w:t>
      </w:r>
      <w:r>
        <w:rPr>
          <w:spacing w:val="-2"/>
        </w:rPr>
        <w:t xml:space="preserve"> </w:t>
      </w:r>
      <w:r>
        <w:t>‘conversations’</w:t>
      </w:r>
      <w:r>
        <w:rPr>
          <w:spacing w:val="-1"/>
        </w:rPr>
        <w:t xml:space="preserve"> </w:t>
      </w:r>
      <w:r>
        <w:t>about social</w:t>
      </w:r>
      <w:r>
        <w:rPr>
          <w:spacing w:val="-3"/>
        </w:rPr>
        <w:t xml:space="preserve"> </w:t>
      </w:r>
      <w:r>
        <w:t>cohesion</w:t>
      </w:r>
      <w:r>
        <w:rPr>
          <w:vertAlign w:val="superscript"/>
        </w:rPr>
        <w:t>5</w:t>
      </w:r>
      <w:r>
        <w:t>.</w:t>
      </w:r>
      <w:r>
        <w:rPr>
          <w:spacing w:val="-1"/>
        </w:rPr>
        <w:t xml:space="preserve"> </w:t>
      </w:r>
      <w:r>
        <w:t>Sense</w:t>
      </w:r>
      <w:r>
        <w:rPr>
          <w:spacing w:val="-1"/>
        </w:rPr>
        <w:t xml:space="preserve"> </w:t>
      </w:r>
      <w:r>
        <w:t>of</w:t>
      </w:r>
    </w:p>
    <w:p w14:paraId="77D6C7C3" w14:textId="77777777" w:rsidR="002A14F8" w:rsidRDefault="002A14F8">
      <w:pPr>
        <w:spacing w:line="259" w:lineRule="auto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05BA74B0" w14:textId="77777777" w:rsidR="002A14F8" w:rsidRDefault="003458B8">
      <w:pPr>
        <w:pStyle w:val="BodyText"/>
        <w:spacing w:before="78" w:line="259" w:lineRule="auto"/>
        <w:ind w:left="540" w:right="730"/>
      </w:pPr>
      <w:r>
        <w:lastRenderedPageBreak/>
        <w:t>community is also very important, at a basic level, in preserving and strengthening whānau</w:t>
      </w:r>
      <w:r>
        <w:t>/families</w:t>
      </w:r>
      <w:r>
        <w:rPr>
          <w:spacing w:val="-52"/>
        </w:rPr>
        <w:t xml:space="preserve"> </w:t>
      </w:r>
      <w:r>
        <w:t>and knowing your own neighbours</w:t>
      </w:r>
      <w:r>
        <w:rPr>
          <w:vertAlign w:val="superscript"/>
        </w:rPr>
        <w:t>5</w:t>
      </w:r>
      <w:r>
        <w:t>. The experience of inclusion is feeling as if you are where you</w:t>
      </w:r>
      <w:r>
        <w:rPr>
          <w:spacing w:val="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be, 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people</w:t>
      </w:r>
      <w:r>
        <w:rPr>
          <w:spacing w:val="-2"/>
        </w:rPr>
        <w:t xml:space="preserve"> </w:t>
      </w:r>
      <w:r>
        <w:t>you should be with, and as</w:t>
      </w:r>
      <w:r>
        <w:rPr>
          <w:spacing w:val="-2"/>
        </w:rPr>
        <w:t xml:space="preserve"> </w:t>
      </w:r>
      <w:r>
        <w:t>the person you really</w:t>
      </w:r>
      <w:r>
        <w:rPr>
          <w:spacing w:val="-3"/>
        </w:rPr>
        <w:t xml:space="preserve"> </w:t>
      </w:r>
      <w:r>
        <w:t>are</w:t>
      </w:r>
      <w:r>
        <w:rPr>
          <w:vertAlign w:val="superscript"/>
        </w:rPr>
        <w:t>1</w:t>
      </w:r>
      <w:r>
        <w:t>.</w:t>
      </w:r>
    </w:p>
    <w:p w14:paraId="5D1B2654" w14:textId="77777777" w:rsidR="002A14F8" w:rsidRDefault="003458B8">
      <w:pPr>
        <w:pStyle w:val="BodyText"/>
        <w:spacing w:before="159" w:line="259" w:lineRule="auto"/>
        <w:ind w:left="540" w:right="539"/>
      </w:pPr>
      <w:r>
        <w:t>Diversity includes the ability to connect with others, set common g</w:t>
      </w:r>
      <w:r>
        <w:t>oals, resolve conflicts, show</w:t>
      </w:r>
      <w:r>
        <w:rPr>
          <w:spacing w:val="1"/>
        </w:rPr>
        <w:t xml:space="preserve"> </w:t>
      </w:r>
      <w:r>
        <w:t>resilience, compromise when necessary (on the part of all ethnic and cultural groups, including both</w:t>
      </w:r>
      <w:r>
        <w:rPr>
          <w:spacing w:val="1"/>
        </w:rPr>
        <w:t xml:space="preserve"> </w:t>
      </w:r>
      <w:r>
        <w:t>newcomers and</w:t>
      </w:r>
      <w:r>
        <w:rPr>
          <w:spacing w:val="1"/>
        </w:rPr>
        <w:t xml:space="preserve"> </w:t>
      </w:r>
      <w:r>
        <w:t>more established</w:t>
      </w:r>
      <w:r>
        <w:rPr>
          <w:spacing w:val="-2"/>
        </w:rPr>
        <w:t xml:space="preserve"> </w:t>
      </w:r>
      <w:r>
        <w:t>communities)</w:t>
      </w:r>
      <w:r>
        <w:rPr>
          <w:vertAlign w:val="superscript"/>
        </w:rPr>
        <w:t>5</w:t>
      </w:r>
      <w:r>
        <w:t>.</w:t>
      </w:r>
      <w:r>
        <w:rPr>
          <w:spacing w:val="1"/>
        </w:rPr>
        <w:t xml:space="preserve"> </w:t>
      </w:r>
      <w:r>
        <w:t>In this</w:t>
      </w:r>
      <w:r>
        <w:rPr>
          <w:spacing w:val="1"/>
        </w:rPr>
        <w:t xml:space="preserve"> </w:t>
      </w:r>
      <w:r>
        <w:t>context,</w:t>
      </w:r>
      <w:r>
        <w:rPr>
          <w:spacing w:val="1"/>
        </w:rPr>
        <w:t xml:space="preserve"> </w:t>
      </w:r>
      <w:r>
        <w:t>reports discussed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assert that diversity should be a space to reject racism, sexism, and other forms of marginalisation and</w:t>
      </w:r>
      <w:r>
        <w:rPr>
          <w:spacing w:val="-52"/>
        </w:rPr>
        <w:t xml:space="preserve"> </w:t>
      </w:r>
      <w:r>
        <w:t>promote a space of tolerance, open-mindedness, respect for difference, and respect for others’ values.</w:t>
      </w:r>
      <w:r>
        <w:rPr>
          <w:spacing w:val="1"/>
        </w:rPr>
        <w:t xml:space="preserve"> </w:t>
      </w:r>
      <w:r>
        <w:t>It is the role of all groups, particularly leade</w:t>
      </w:r>
      <w:r>
        <w:t>rs, to promote these qualities. Even in a diverse multi-</w:t>
      </w:r>
      <w:r>
        <w:rPr>
          <w:spacing w:val="1"/>
        </w:rPr>
        <w:t xml:space="preserve"> </w:t>
      </w:r>
      <w:r>
        <w:t>cultural society, there are some common values. For example, honesty, respect for each other,</w:t>
      </w:r>
      <w:r>
        <w:rPr>
          <w:spacing w:val="1"/>
        </w:rPr>
        <w:t xml:space="preserve"> </w:t>
      </w:r>
      <w:r>
        <w:t>fairness, support for fundamental human rights and belief in the importance of family/whānau,</w:t>
      </w:r>
      <w:r>
        <w:rPr>
          <w:spacing w:val="1"/>
        </w:rPr>
        <w:t xml:space="preserve"> </w:t>
      </w:r>
      <w:r>
        <w:t>education a</w:t>
      </w:r>
      <w:r>
        <w:t>nd hard work</w:t>
      </w:r>
      <w:r>
        <w:rPr>
          <w:vertAlign w:val="superscript"/>
        </w:rPr>
        <w:t>6</w:t>
      </w:r>
      <w:r>
        <w:t>. Leaders and role models should promote, uphold and demonstrate these</w:t>
      </w:r>
      <w:r>
        <w:rPr>
          <w:spacing w:val="1"/>
        </w:rPr>
        <w:t xml:space="preserve"> </w:t>
      </w:r>
      <w:r>
        <w:t>values,</w:t>
      </w:r>
      <w:r>
        <w:rPr>
          <w:spacing w:val="-1"/>
        </w:rPr>
        <w:t xml:space="preserve"> </w:t>
      </w:r>
      <w:r>
        <w:t>and encourage children and young</w:t>
      </w:r>
      <w:r>
        <w:rPr>
          <w:spacing w:val="-3"/>
        </w:rPr>
        <w:t xml:space="preserve"> </w:t>
      </w:r>
      <w:r>
        <w:t>people</w:t>
      </w:r>
      <w:r>
        <w:rPr>
          <w:spacing w:val="-2"/>
        </w:rPr>
        <w:t xml:space="preserve"> </w:t>
      </w:r>
      <w:r>
        <w:t>to understand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follow</w:t>
      </w:r>
      <w:r>
        <w:rPr>
          <w:spacing w:val="-4"/>
        </w:rPr>
        <w:t xml:space="preserve"> </w:t>
      </w:r>
      <w:r>
        <w:t>these values</w:t>
      </w:r>
      <w:r>
        <w:rPr>
          <w:vertAlign w:val="superscript"/>
        </w:rPr>
        <w:t>5</w:t>
      </w:r>
      <w:r>
        <w:t>.</w:t>
      </w:r>
    </w:p>
    <w:p w14:paraId="759A4CAA" w14:textId="77777777" w:rsidR="002A14F8" w:rsidRDefault="003458B8">
      <w:pPr>
        <w:pStyle w:val="BodyText"/>
        <w:spacing w:before="158" w:line="259" w:lineRule="auto"/>
        <w:ind w:left="540" w:right="508"/>
      </w:pPr>
      <w:r>
        <w:t xml:space="preserve">The role of government was highlighted across the consultation and reports reviewed </w:t>
      </w:r>
      <w:r>
        <w:t>here. Reports</w:t>
      </w:r>
      <w:r>
        <w:rPr>
          <w:spacing w:val="1"/>
        </w:rPr>
        <w:t xml:space="preserve"> </w:t>
      </w:r>
      <w:r>
        <w:t>suggest that the government should establish social infrastructure to enable social cohesion in terms of</w:t>
      </w:r>
      <w:r>
        <w:rPr>
          <w:spacing w:val="-52"/>
        </w:rPr>
        <w:t xml:space="preserve"> </w:t>
      </w:r>
      <w:r>
        <w:t>social relations, especially between different cultures</w:t>
      </w:r>
      <w:r>
        <w:rPr>
          <w:vertAlign w:val="superscript"/>
        </w:rPr>
        <w:t>5</w:t>
      </w:r>
      <w:r>
        <w:t>. Government must also enable representation of</w:t>
      </w:r>
      <w:r>
        <w:rPr>
          <w:spacing w:val="-52"/>
        </w:rPr>
        <w:t xml:space="preserve"> </w:t>
      </w:r>
      <w:r>
        <w:t>all diverse communities in govern</w:t>
      </w:r>
      <w:r>
        <w:t>ance structures in order to increase the scope for minority group</w:t>
      </w:r>
      <w:r>
        <w:rPr>
          <w:spacing w:val="1"/>
        </w:rPr>
        <w:t xml:space="preserve"> </w:t>
      </w:r>
      <w:r>
        <w:t>perspectives to be represented in decision-making processes</w:t>
      </w:r>
      <w:r>
        <w:rPr>
          <w:vertAlign w:val="superscript"/>
        </w:rPr>
        <w:t>5</w:t>
      </w:r>
      <w:r>
        <w:t>. When government engages with</w:t>
      </w:r>
      <w:r>
        <w:rPr>
          <w:spacing w:val="1"/>
        </w:rPr>
        <w:t xml:space="preserve"> </w:t>
      </w:r>
      <w:r>
        <w:t>communities, it must involve creating strong and sustainable relationships and significant investme</w:t>
      </w:r>
      <w:r>
        <w:t>nt</w:t>
      </w:r>
      <w:r>
        <w:rPr>
          <w:spacing w:val="1"/>
        </w:rPr>
        <w:t xml:space="preserve"> </w:t>
      </w:r>
      <w:r>
        <w:t>at the outset - this should not be treated as a ‘one-off transaction’</w:t>
      </w:r>
      <w:r>
        <w:rPr>
          <w:vertAlign w:val="superscript"/>
        </w:rPr>
        <w:t>6</w:t>
      </w:r>
      <w:r>
        <w:t>. Effective engagement with Pacific</w:t>
      </w:r>
      <w:r>
        <w:rPr>
          <w:spacing w:val="1"/>
        </w:rPr>
        <w:t xml:space="preserve"> </w:t>
      </w:r>
      <w:r>
        <w:t>peoples involves creating strong and sustainable relationships</w:t>
      </w:r>
      <w:r>
        <w:rPr>
          <w:vertAlign w:val="superscript"/>
        </w:rPr>
        <w:t>6</w:t>
      </w:r>
      <w:r>
        <w:t>. Local and national governments have</w:t>
      </w:r>
      <w:r>
        <w:rPr>
          <w:spacing w:val="1"/>
        </w:rPr>
        <w:t xml:space="preserve"> </w:t>
      </w:r>
      <w:r>
        <w:t xml:space="preserve">responsibility to provide space and resources </w:t>
      </w:r>
      <w:r>
        <w:t>for diverse communities to plan, talk, develop, share,</w:t>
      </w:r>
      <w:r>
        <w:rPr>
          <w:spacing w:val="1"/>
        </w:rPr>
        <w:t xml:space="preserve"> </w:t>
      </w:r>
      <w:r>
        <w:t>communicate and feel safe</w:t>
      </w:r>
      <w:r>
        <w:rPr>
          <w:vertAlign w:val="superscript"/>
        </w:rPr>
        <w:t>5</w:t>
      </w:r>
      <w:r>
        <w:t>. The goal should be to further integrate and fuse the interests of the</w:t>
      </w:r>
      <w:r>
        <w:rPr>
          <w:spacing w:val="1"/>
        </w:rPr>
        <w:t xml:space="preserve"> </w:t>
      </w:r>
      <w:r>
        <w:t>diversity of communities within the larger New Zealand community, without eroding each</w:t>
      </w:r>
      <w:r>
        <w:rPr>
          <w:spacing w:val="1"/>
        </w:rPr>
        <w:t xml:space="preserve"> </w:t>
      </w:r>
      <w:r>
        <w:t>community’s sens</w:t>
      </w:r>
      <w:r>
        <w:t>e of identity in that process</w:t>
      </w:r>
      <w:r>
        <w:rPr>
          <w:vertAlign w:val="superscript"/>
        </w:rPr>
        <w:t>5</w:t>
      </w:r>
      <w:r>
        <w:t>. The responses that followed the 2019 Christchurch</w:t>
      </w:r>
      <w:r>
        <w:rPr>
          <w:spacing w:val="1"/>
        </w:rPr>
        <w:t xml:space="preserve"> </w:t>
      </w:r>
      <w:r>
        <w:t>terror attacks have been viewed as an indication of a shift in the everyday encounters among diverse</w:t>
      </w:r>
      <w:r>
        <w:rPr>
          <w:spacing w:val="1"/>
        </w:rPr>
        <w:t xml:space="preserve"> </w:t>
      </w:r>
      <w:r>
        <w:t>peoples.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shift</w:t>
      </w:r>
      <w:r>
        <w:rPr>
          <w:spacing w:val="2"/>
        </w:rPr>
        <w:t xml:space="preserve"> </w:t>
      </w:r>
      <w:r>
        <w:t>has generated</w:t>
      </w:r>
      <w:r>
        <w:rPr>
          <w:spacing w:val="3"/>
        </w:rPr>
        <w:t xml:space="preserve"> </w:t>
      </w:r>
      <w:r>
        <w:t>hope</w:t>
      </w:r>
      <w:r>
        <w:rPr>
          <w:spacing w:val="1"/>
        </w:rPr>
        <w:t xml:space="preserve"> </w:t>
      </w:r>
      <w:r>
        <w:t>amongst</w:t>
      </w:r>
      <w:r>
        <w:rPr>
          <w:spacing w:val="1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communities</w:t>
      </w:r>
      <w:r>
        <w:rPr>
          <w:spacing w:val="-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a greater</w:t>
      </w:r>
      <w:r>
        <w:rPr>
          <w:spacing w:val="2"/>
        </w:rPr>
        <w:t xml:space="preserve"> </w:t>
      </w:r>
      <w:r>
        <w:t>willingness</w:t>
      </w:r>
      <w:r>
        <w:rPr>
          <w:spacing w:val="1"/>
        </w:rPr>
        <w:t xml:space="preserve"> </w:t>
      </w:r>
      <w:r>
        <w:t>to participate in an honest dialogue about identity and</w:t>
      </w:r>
      <w:r>
        <w:t xml:space="preserve"> belonging for all New Zealanders, regardless of</w:t>
      </w:r>
      <w:r>
        <w:rPr>
          <w:spacing w:val="-5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differences.</w:t>
      </w:r>
    </w:p>
    <w:p w14:paraId="3B7C0208" w14:textId="77777777" w:rsidR="002A14F8" w:rsidRDefault="002A14F8">
      <w:pPr>
        <w:spacing w:line="259" w:lineRule="auto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1F66B284" w14:textId="77777777" w:rsidR="002A14F8" w:rsidRDefault="003458B8">
      <w:pPr>
        <w:pStyle w:val="Heading1"/>
      </w:pPr>
      <w:bookmarkStart w:id="1" w:name="_bookmark1"/>
      <w:bookmarkEnd w:id="1"/>
      <w:r>
        <w:lastRenderedPageBreak/>
        <w:t>Rainbow</w:t>
      </w:r>
      <w:r>
        <w:rPr>
          <w:spacing w:val="-4"/>
        </w:rPr>
        <w:t xml:space="preserve"> </w:t>
      </w:r>
      <w:r>
        <w:t>Community</w:t>
      </w:r>
    </w:p>
    <w:p w14:paraId="41DB41FA" w14:textId="77777777" w:rsidR="002A14F8" w:rsidRDefault="003458B8">
      <w:pPr>
        <w:pStyle w:val="BodyText"/>
        <w:spacing w:before="269" w:line="276" w:lineRule="auto"/>
        <w:ind w:left="540" w:right="645"/>
      </w:pPr>
      <w:r>
        <w:t>The rainbow community is a grouping of various sex and gender minorities that are often considered</w:t>
      </w:r>
      <w:r>
        <w:rPr>
          <w:spacing w:val="-52"/>
        </w:rPr>
        <w:t xml:space="preserve"> </w:t>
      </w:r>
      <w:r>
        <w:t>outside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male-female binary.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community</w:t>
      </w:r>
      <w:r>
        <w:rPr>
          <w:spacing w:val="-2"/>
        </w:rPr>
        <w:t xml:space="preserve"> </w:t>
      </w:r>
      <w:r>
        <w:t>incl</w:t>
      </w:r>
      <w:r>
        <w:t>udes:</w:t>
      </w:r>
    </w:p>
    <w:p w14:paraId="137EED5D" w14:textId="77777777" w:rsidR="002A14F8" w:rsidRDefault="003458B8">
      <w:pPr>
        <w:pStyle w:val="BodyText"/>
        <w:spacing w:before="1" w:line="276" w:lineRule="auto"/>
        <w:ind w:left="1260" w:right="537"/>
      </w:pPr>
      <w:r>
        <w:t>people who identify as takatāpui, lesbian, gay, bisexual, queer, intersex, transgender,</w:t>
      </w:r>
      <w:r>
        <w:rPr>
          <w:spacing w:val="1"/>
        </w:rPr>
        <w:t xml:space="preserve"> </w:t>
      </w:r>
      <w:r>
        <w:t>transsexual, whakawahine, tangata ira tāne, māhū (Tahiti and Hawaii), vakasalewalewa (Fiji),</w:t>
      </w:r>
      <w:r>
        <w:rPr>
          <w:spacing w:val="-52"/>
        </w:rPr>
        <w:t xml:space="preserve"> </w:t>
      </w:r>
      <w:r>
        <w:t>palopa (Papua New Guinea), fa’afafine (Samoa, America Samoa and Tokel</w:t>
      </w:r>
      <w:r>
        <w:t>au), akava’ine</w:t>
      </w:r>
      <w:r>
        <w:rPr>
          <w:spacing w:val="1"/>
        </w:rPr>
        <w:t xml:space="preserve"> </w:t>
      </w:r>
      <w:r>
        <w:t>(Cook</w:t>
      </w:r>
      <w:r>
        <w:rPr>
          <w:spacing w:val="-2"/>
        </w:rPr>
        <w:t xml:space="preserve"> </w:t>
      </w:r>
      <w:r>
        <w:t>Islands), fakaleiti or</w:t>
      </w:r>
      <w:r>
        <w:rPr>
          <w:spacing w:val="-2"/>
        </w:rPr>
        <w:t xml:space="preserve"> </w:t>
      </w:r>
      <w:r>
        <w:t>leiti</w:t>
      </w:r>
      <w:r>
        <w:rPr>
          <w:spacing w:val="-2"/>
        </w:rPr>
        <w:t xml:space="preserve"> </w:t>
      </w:r>
      <w:r>
        <w:t>(the</w:t>
      </w:r>
      <w:r>
        <w:rPr>
          <w:spacing w:val="-2"/>
        </w:rPr>
        <w:t xml:space="preserve"> </w:t>
      </w:r>
      <w:r>
        <w:t>Kingdom</w:t>
      </w:r>
      <w:r>
        <w:rPr>
          <w:spacing w:val="-5"/>
        </w:rPr>
        <w:t xml:space="preserve"> </w:t>
      </w:r>
      <w:r>
        <w:t>of Tonga), or</w:t>
      </w:r>
      <w:r>
        <w:rPr>
          <w:spacing w:val="-1"/>
        </w:rPr>
        <w:t xml:space="preserve"> </w:t>
      </w:r>
      <w:r>
        <w:t>fakafifine</w:t>
      </w:r>
      <w:r>
        <w:rPr>
          <w:spacing w:val="-2"/>
        </w:rPr>
        <w:t xml:space="preserve"> </w:t>
      </w:r>
      <w:r>
        <w:t>(Niue).</w:t>
      </w:r>
    </w:p>
    <w:p w14:paraId="0764BE96" w14:textId="77777777" w:rsidR="002A14F8" w:rsidRDefault="002A14F8">
      <w:pPr>
        <w:pStyle w:val="BodyText"/>
        <w:spacing w:before="3"/>
        <w:rPr>
          <w:sz w:val="25"/>
        </w:rPr>
      </w:pPr>
    </w:p>
    <w:p w14:paraId="3EF04401" w14:textId="77777777" w:rsidR="002A14F8" w:rsidRDefault="003458B8">
      <w:pPr>
        <w:pStyle w:val="BodyText"/>
        <w:spacing w:before="1" w:line="276" w:lineRule="auto"/>
        <w:ind w:left="540" w:right="527"/>
      </w:pPr>
      <w:r>
        <w:t>The range of identities within the ainbow community was noted in the recent mental health</w:t>
      </w:r>
      <w:r>
        <w:rPr>
          <w:spacing w:val="1"/>
        </w:rPr>
        <w:t xml:space="preserve"> </w:t>
      </w:r>
      <w:r>
        <w:t>submission for the Government Inquiry into Mental Health and Addiction – Oranga Tāngata, Oranga</w:t>
      </w:r>
      <w:r>
        <w:rPr>
          <w:spacing w:val="1"/>
        </w:rPr>
        <w:t xml:space="preserve"> </w:t>
      </w:r>
      <w:r>
        <w:t>Whānau</w:t>
      </w:r>
      <w:r>
        <w:rPr>
          <w:vertAlign w:val="superscript"/>
        </w:rPr>
        <w:t>7</w:t>
      </w:r>
      <w:r>
        <w:t>. This submission highlighting existing research in Aotearoa Ne</w:t>
      </w:r>
      <w:r>
        <w:t>w Zealand on rainbow</w:t>
      </w:r>
      <w:r>
        <w:rPr>
          <w:spacing w:val="1"/>
        </w:rPr>
        <w:t xml:space="preserve"> </w:t>
      </w:r>
      <w:r>
        <w:t>people’s mental health provides evidence regarding the need to foster belongingness among these</w:t>
      </w:r>
      <w:r>
        <w:rPr>
          <w:spacing w:val="1"/>
        </w:rPr>
        <w:t xml:space="preserve"> </w:t>
      </w:r>
      <w:r>
        <w:t>communities. Rainbow people were more likely to report worse general wellbeing and mental health</w:t>
      </w:r>
      <w:r>
        <w:rPr>
          <w:spacing w:val="1"/>
        </w:rPr>
        <w:t xml:space="preserve"> </w:t>
      </w:r>
      <w:r>
        <w:t>than the general population</w:t>
      </w:r>
      <w:r>
        <w:rPr>
          <w:vertAlign w:val="superscript"/>
        </w:rPr>
        <w:t>8–10</w:t>
      </w:r>
      <w:r>
        <w:t>. Discrimin</w:t>
      </w:r>
      <w:r>
        <w:t>ation and oppression occurred at the collective level, and the</w:t>
      </w:r>
      <w:r>
        <w:rPr>
          <w:spacing w:val="-52"/>
        </w:rPr>
        <w:t xml:space="preserve"> </w:t>
      </w:r>
      <w:r>
        <w:t>burden of stress negatively impacted mental health of rainbow people</w:t>
      </w:r>
      <w:r>
        <w:rPr>
          <w:vertAlign w:val="superscript"/>
        </w:rPr>
        <w:t>11</w:t>
      </w:r>
      <w:r>
        <w:t>. Self-harming and suicidality</w:t>
      </w:r>
      <w:r>
        <w:rPr>
          <w:spacing w:val="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identified</w:t>
      </w:r>
      <w:r>
        <w:rPr>
          <w:spacing w:val="3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epidemics</w:t>
      </w:r>
      <w:r>
        <w:rPr>
          <w:spacing w:val="4"/>
        </w:rPr>
        <w:t xml:space="preserve"> </w:t>
      </w:r>
      <w:r>
        <w:t>requiring greater</w:t>
      </w:r>
      <w:r>
        <w:rPr>
          <w:spacing w:val="4"/>
        </w:rPr>
        <w:t xml:space="preserve"> </w:t>
      </w:r>
      <w:r>
        <w:t>dialogue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awareness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collective</w:t>
      </w:r>
      <w:r>
        <w:rPr>
          <w:spacing w:val="3"/>
        </w:rPr>
        <w:t xml:space="preserve"> </w:t>
      </w:r>
      <w:r>
        <w:t>leve</w:t>
      </w:r>
      <w:r>
        <w:t>l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society rather than the sole problem of rainbow people</w:t>
      </w:r>
      <w:r>
        <w:rPr>
          <w:vertAlign w:val="superscript"/>
        </w:rPr>
        <w:t>10–12</w:t>
      </w:r>
      <w:r>
        <w:t>. Suicide is a resultant from</w:t>
      </w:r>
      <w:r>
        <w:rPr>
          <w:spacing w:val="1"/>
        </w:rPr>
        <w:t xml:space="preserve"> </w:t>
      </w:r>
      <w:r>
        <w:t>cisheteronormativity social norm (the belief that gender binary and heterosexuality are default) that</w:t>
      </w:r>
      <w:r>
        <w:rPr>
          <w:spacing w:val="1"/>
        </w:rPr>
        <w:t xml:space="preserve"> </w:t>
      </w:r>
      <w:r>
        <w:t xml:space="preserve">reflects the wider discourses on masculinity and reluctance </w:t>
      </w:r>
      <w:r>
        <w:t>to seek healthcare in Aotearoa New</w:t>
      </w:r>
      <w:r>
        <w:rPr>
          <w:spacing w:val="1"/>
        </w:rPr>
        <w:t xml:space="preserve"> </w:t>
      </w:r>
      <w:r>
        <w:t xml:space="preserve">Zealand </w:t>
      </w:r>
      <w:r>
        <w:rPr>
          <w:vertAlign w:val="superscript"/>
        </w:rPr>
        <w:t>11</w:t>
      </w:r>
      <w:r>
        <w:t>. Rainbow people who had been discriminated against for sexual and/or gender identities</w:t>
      </w:r>
      <w:r>
        <w:rPr>
          <w:spacing w:val="1"/>
        </w:rPr>
        <w:t xml:space="preserve"> </w:t>
      </w:r>
      <w:r>
        <w:t>were more likely to manifest mental health difficulties</w:t>
      </w:r>
      <w:r>
        <w:rPr>
          <w:vertAlign w:val="superscript"/>
        </w:rPr>
        <w:t>10</w:t>
      </w:r>
      <w:r>
        <w:t>. Despite being more likely to report feeling</w:t>
      </w:r>
      <w:r>
        <w:rPr>
          <w:spacing w:val="1"/>
        </w:rPr>
        <w:t xml:space="preserve"> </w:t>
      </w:r>
      <w:r>
        <w:t>lonely and being exc</w:t>
      </w:r>
      <w:r>
        <w:t>luded from social situation, rainbow people remain active contributors to the</w:t>
      </w:r>
      <w:r>
        <w:rPr>
          <w:spacing w:val="1"/>
        </w:rPr>
        <w:t xml:space="preserve"> </w:t>
      </w:r>
      <w:r>
        <w:t>wellbeing and happiness of family, whānau, friends, and wider society</w:t>
      </w:r>
      <w:r>
        <w:rPr>
          <w:vertAlign w:val="superscript"/>
        </w:rPr>
        <w:t>8</w:t>
      </w:r>
      <w:r>
        <w:t>. It is important for rainbow</w:t>
      </w:r>
      <w:r>
        <w:rPr>
          <w:spacing w:val="1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 named</w:t>
      </w:r>
      <w:r>
        <w:rPr>
          <w:spacing w:val="-1"/>
        </w:rPr>
        <w:t xml:space="preserve"> </w:t>
      </w:r>
      <w:r>
        <w:t>as a</w:t>
      </w:r>
      <w:r>
        <w:rPr>
          <w:spacing w:val="-1"/>
        </w:rPr>
        <w:t xml:space="preserve"> </w:t>
      </w:r>
      <w:r>
        <w:t>priority</w:t>
      </w:r>
      <w:r>
        <w:rPr>
          <w:spacing w:val="-3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mental health</w:t>
      </w:r>
      <w:r>
        <w:rPr>
          <w:spacing w:val="-3"/>
        </w:rPr>
        <w:t xml:space="preserve"> </w:t>
      </w:r>
      <w:r>
        <w:t>policies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suicide</w:t>
      </w:r>
      <w:r>
        <w:rPr>
          <w:spacing w:val="-1"/>
        </w:rPr>
        <w:t xml:space="preserve"> </w:t>
      </w:r>
      <w:r>
        <w:t>prevention strategies</w:t>
      </w:r>
      <w:r>
        <w:rPr>
          <w:vertAlign w:val="superscript"/>
        </w:rPr>
        <w:t>7,13</w:t>
      </w:r>
      <w:r>
        <w:t>.</w:t>
      </w:r>
    </w:p>
    <w:p w14:paraId="226DA718" w14:textId="77777777" w:rsidR="002A14F8" w:rsidRDefault="002A14F8">
      <w:pPr>
        <w:pStyle w:val="BodyText"/>
      </w:pPr>
    </w:p>
    <w:p w14:paraId="63AFF731" w14:textId="77777777" w:rsidR="002A14F8" w:rsidRDefault="003458B8">
      <w:pPr>
        <w:pStyle w:val="BodyText"/>
        <w:ind w:left="540" w:right="519"/>
      </w:pPr>
      <w:r>
        <w:t>Lengthy waiting times to access mental health support is a prevalent problem affecting rainbow</w:t>
      </w:r>
      <w:r>
        <w:rPr>
          <w:spacing w:val="1"/>
        </w:rPr>
        <w:t xml:space="preserve"> </w:t>
      </w:r>
      <w:r>
        <w:t>people</w:t>
      </w:r>
      <w:r>
        <w:rPr>
          <w:vertAlign w:val="superscript"/>
        </w:rPr>
        <w:t>12</w:t>
      </w:r>
      <w:r>
        <w:t>. Rainbow people who access mental health services risk facing professionals who make</w:t>
      </w:r>
      <w:r>
        <w:rPr>
          <w:spacing w:val="1"/>
        </w:rPr>
        <w:t xml:space="preserve"> </w:t>
      </w:r>
      <w:r>
        <w:t>assumption that they are straight or ci</w:t>
      </w:r>
      <w:r>
        <w:t>sgender</w:t>
      </w:r>
      <w:r>
        <w:rPr>
          <w:vertAlign w:val="superscript"/>
        </w:rPr>
        <w:t>12</w:t>
      </w:r>
      <w:r>
        <w:t>, and there is an urgent need for mental health</w:t>
      </w:r>
      <w:r>
        <w:rPr>
          <w:spacing w:val="1"/>
        </w:rPr>
        <w:t xml:space="preserve"> </w:t>
      </w:r>
      <w:r>
        <w:t>professionals to</w:t>
      </w:r>
      <w:r>
        <w:rPr>
          <w:spacing w:val="3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educated</w:t>
      </w:r>
      <w:r>
        <w:rPr>
          <w:spacing w:val="2"/>
        </w:rPr>
        <w:t xml:space="preserve"> </w:t>
      </w:r>
      <w:r>
        <w:t>about</w:t>
      </w:r>
      <w:r>
        <w:rPr>
          <w:spacing w:val="4"/>
        </w:rPr>
        <w:t xml:space="preserve"> </w:t>
      </w:r>
      <w:r>
        <w:t>sex,</w:t>
      </w:r>
      <w:r>
        <w:rPr>
          <w:spacing w:val="2"/>
        </w:rPr>
        <w:t xml:space="preserve"> </w:t>
      </w:r>
      <w:r>
        <w:t>sexuality,</w:t>
      </w:r>
      <w:r>
        <w:rPr>
          <w:spacing w:val="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gender</w:t>
      </w:r>
      <w:r>
        <w:rPr>
          <w:spacing w:val="3"/>
        </w:rPr>
        <w:t xml:space="preserve"> </w:t>
      </w:r>
      <w:r>
        <w:t>diversity</w:t>
      </w:r>
      <w:r>
        <w:rPr>
          <w:vertAlign w:val="superscript"/>
        </w:rPr>
        <w:t>12,14</w:t>
      </w:r>
      <w:r>
        <w:t>.</w:t>
      </w:r>
      <w:r>
        <w:rPr>
          <w:spacing w:val="2"/>
        </w:rPr>
        <w:t xml:space="preserve"> </w:t>
      </w:r>
      <w:r>
        <w:t>Mental</w:t>
      </w:r>
      <w:r>
        <w:rPr>
          <w:spacing w:val="3"/>
        </w:rPr>
        <w:t xml:space="preserve"> </w:t>
      </w:r>
      <w:r>
        <w:t>health</w:t>
      </w:r>
      <w:r>
        <w:rPr>
          <w:spacing w:val="1"/>
        </w:rPr>
        <w:t xml:space="preserve"> </w:t>
      </w:r>
      <w:r>
        <w:t>professionals working in rainbow health are encouraged to take an affirmative stance (embrace</w:t>
      </w:r>
      <w:r>
        <w:rPr>
          <w:spacing w:val="1"/>
        </w:rPr>
        <w:t xml:space="preserve"> </w:t>
      </w:r>
      <w:r>
        <w:t>positive view</w:t>
      </w:r>
      <w:r>
        <w:t>s of rainbow identities and consider the impact of discrimination on their lives), respect</w:t>
      </w:r>
      <w:r>
        <w:rPr>
          <w:spacing w:val="1"/>
        </w:rPr>
        <w:t xml:space="preserve"> </w:t>
      </w:r>
      <w:r>
        <w:t>self-determination (respecting the way rainbow people express their identities), engage in self-</w:t>
      </w:r>
      <w:r>
        <w:rPr>
          <w:spacing w:val="1"/>
        </w:rPr>
        <w:t xml:space="preserve"> </w:t>
      </w:r>
      <w:r>
        <w:t>reflection (reflecting on own identities and privileges in an ongoin</w:t>
      </w:r>
      <w:r>
        <w:t>g process), acknowledge the</w:t>
      </w:r>
      <w:r>
        <w:rPr>
          <w:spacing w:val="1"/>
        </w:rPr>
        <w:t xml:space="preserve"> </w:t>
      </w:r>
      <w:r>
        <w:t>diversity of rainbow people (recognise the diversity of experiences and needs among rainbow people),</w:t>
      </w:r>
      <w:r>
        <w:rPr>
          <w:spacing w:val="-52"/>
        </w:rPr>
        <w:t xml:space="preserve"> </w:t>
      </w:r>
      <w:r>
        <w:t>learn about rainbow experiences and needs (understand common challenges, strengths, and</w:t>
      </w:r>
      <w:r>
        <w:rPr>
          <w:spacing w:val="1"/>
        </w:rPr>
        <w:t xml:space="preserve"> </w:t>
      </w:r>
      <w:r>
        <w:t>resilience’s), and support rainbow peop</w:t>
      </w:r>
      <w:r>
        <w:t>le from ethnically diverse backgrounds to explore and utilise</w:t>
      </w:r>
      <w:r>
        <w:rPr>
          <w:spacing w:val="1"/>
        </w:rPr>
        <w:t xml:space="preserve"> </w:t>
      </w:r>
      <w:r>
        <w:t>their own cultural resources for resilience</w:t>
      </w:r>
      <w:r>
        <w:rPr>
          <w:vertAlign w:val="superscript"/>
        </w:rPr>
        <w:t>12,14–16</w:t>
      </w:r>
      <w:r>
        <w:t>. In order to break down the pervasive ideologies and</w:t>
      </w:r>
      <w:r>
        <w:rPr>
          <w:spacing w:val="1"/>
        </w:rPr>
        <w:t xml:space="preserve"> </w:t>
      </w:r>
      <w:r>
        <w:t>pathologising views which exist towards members of rainbow communities to this day, peopl</w:t>
      </w:r>
      <w:r>
        <w:t>e in</w:t>
      </w:r>
      <w:r>
        <w:rPr>
          <w:spacing w:val="1"/>
        </w:rPr>
        <w:t xml:space="preserve"> </w:t>
      </w:r>
      <w:r>
        <w:t>caring professions, and in particular, health professionals need to act as allies and facilitate</w:t>
      </w:r>
      <w:r>
        <w:rPr>
          <w:spacing w:val="1"/>
        </w:rPr>
        <w:t xml:space="preserve"> </w:t>
      </w:r>
      <w:r>
        <w:t>opportunities</w:t>
      </w:r>
      <w:r>
        <w:rPr>
          <w:spacing w:val="-1"/>
        </w:rPr>
        <w:t xml:space="preserve"> </w:t>
      </w:r>
      <w:r>
        <w:t>whereby</w:t>
      </w:r>
      <w:r>
        <w:rPr>
          <w:spacing w:val="-3"/>
        </w:rPr>
        <w:t xml:space="preserve"> </w:t>
      </w:r>
      <w:r>
        <w:t>empowerment</w:t>
      </w:r>
      <w:r>
        <w:rPr>
          <w:spacing w:val="1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take place.</w:t>
      </w:r>
    </w:p>
    <w:p w14:paraId="70AB0AD5" w14:textId="77777777" w:rsidR="002A14F8" w:rsidRDefault="002A14F8">
      <w:pPr>
        <w:pStyle w:val="BodyText"/>
      </w:pPr>
    </w:p>
    <w:p w14:paraId="6CCB8D21" w14:textId="77777777" w:rsidR="002A14F8" w:rsidRDefault="003458B8">
      <w:pPr>
        <w:pStyle w:val="BodyText"/>
        <w:ind w:left="540" w:right="499"/>
      </w:pPr>
      <w:r>
        <w:t>Cisheteronormativity is so entrenched in society that the general population learns from media and</w:t>
      </w:r>
      <w:r>
        <w:rPr>
          <w:spacing w:val="1"/>
        </w:rPr>
        <w:t xml:space="preserve"> </w:t>
      </w:r>
      <w:r>
        <w:t>surr</w:t>
      </w:r>
      <w:r>
        <w:t>ounding environments that it is acceptable to make disparaging remarks about rainbow people</w:t>
      </w:r>
      <w:r>
        <w:rPr>
          <w:vertAlign w:val="superscript"/>
        </w:rPr>
        <w:t>17</w:t>
      </w:r>
      <w:r>
        <w:t>. It</w:t>
      </w:r>
      <w:r>
        <w:rPr>
          <w:spacing w:val="-52"/>
        </w:rPr>
        <w:t xml:space="preserve"> </w:t>
      </w:r>
      <w:r>
        <w:t>is common for rainbow people to report having been discriminated against</w:t>
      </w:r>
      <w:r>
        <w:rPr>
          <w:vertAlign w:val="superscript"/>
        </w:rPr>
        <w:t>9,10</w:t>
      </w:r>
      <w:r>
        <w:t xml:space="preserve"> and to conceal their</w:t>
      </w:r>
      <w:r>
        <w:rPr>
          <w:spacing w:val="1"/>
        </w:rPr>
        <w:t xml:space="preserve"> </w:t>
      </w:r>
      <w:r>
        <w:t>sexual and/or gender identities to avoid intimidation</w:t>
      </w:r>
      <w:r>
        <w:rPr>
          <w:vertAlign w:val="superscript"/>
        </w:rPr>
        <w:t>18,19</w:t>
      </w:r>
      <w:r>
        <w:t>. Negative societal attitudes have conspired to</w:t>
      </w:r>
      <w:r>
        <w:rPr>
          <w:spacing w:val="1"/>
        </w:rPr>
        <w:t xml:space="preserve"> </w:t>
      </w:r>
      <w:r>
        <w:t>foster low levels of social acceptance resulting in further stigmatisation of rainbow people</w:t>
      </w:r>
      <w:r>
        <w:rPr>
          <w:vertAlign w:val="superscript"/>
        </w:rPr>
        <w:t>20</w:t>
      </w:r>
      <w:r>
        <w:t>. Rainbow</w:t>
      </w:r>
      <w:r>
        <w:rPr>
          <w:spacing w:val="-52"/>
        </w:rPr>
        <w:t xml:space="preserve"> </w:t>
      </w:r>
      <w:r>
        <w:t>people reported feeling unsafe in a range of contexts such as waiting for or using public transport</w:t>
      </w:r>
      <w:r>
        <w:t xml:space="preserve"> and</w:t>
      </w:r>
      <w:r>
        <w:rPr>
          <w:spacing w:val="1"/>
        </w:rPr>
        <w:t xml:space="preserve"> </w:t>
      </w:r>
      <w:r>
        <w:t>walking alone in neighbourhood after dark</w:t>
      </w:r>
      <w:r>
        <w:rPr>
          <w:vertAlign w:val="superscript"/>
        </w:rPr>
        <w:t>10</w:t>
      </w:r>
      <w:r>
        <w:t>. Rainbow people also experience high rates of intimate</w:t>
      </w:r>
      <w:r>
        <w:rPr>
          <w:spacing w:val="1"/>
        </w:rPr>
        <w:t xml:space="preserve"> </w:t>
      </w:r>
      <w:r>
        <w:t>partner and sexual violence</w:t>
      </w:r>
      <w:r>
        <w:rPr>
          <w:vertAlign w:val="superscript"/>
        </w:rPr>
        <w:t>21</w:t>
      </w:r>
      <w:r>
        <w:t>, and they are unlikely to report these incidents as they do not believe it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dealt fairly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have insufficient knowl</w:t>
      </w:r>
      <w:r>
        <w:t>edge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to seek</w:t>
      </w:r>
      <w:r>
        <w:rPr>
          <w:spacing w:val="-4"/>
        </w:rPr>
        <w:t xml:space="preserve"> </w:t>
      </w:r>
      <w:r>
        <w:t>help</w:t>
      </w:r>
      <w:r>
        <w:rPr>
          <w:vertAlign w:val="superscript"/>
        </w:rPr>
        <w:t>21</w:t>
      </w:r>
      <w:r>
        <w:t>.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university</w:t>
      </w:r>
      <w:r>
        <w:rPr>
          <w:spacing w:val="-2"/>
        </w:rPr>
        <w:t xml:space="preserve"> </w:t>
      </w:r>
      <w:r>
        <w:t>context,</w:t>
      </w:r>
    </w:p>
    <w:p w14:paraId="57F21FA7" w14:textId="77777777" w:rsidR="002A14F8" w:rsidRDefault="002A14F8">
      <w:pPr>
        <w:sectPr w:rsidR="002A14F8">
          <w:pgSz w:w="11910" w:h="16840"/>
          <w:pgMar w:top="1360" w:right="940" w:bottom="1200" w:left="900" w:header="0" w:footer="1010" w:gutter="0"/>
          <w:cols w:space="720"/>
        </w:sectPr>
      </w:pPr>
    </w:p>
    <w:p w14:paraId="7EB51C76" w14:textId="77777777" w:rsidR="002A14F8" w:rsidRDefault="003458B8">
      <w:pPr>
        <w:pStyle w:val="BodyText"/>
        <w:spacing w:before="75"/>
        <w:ind w:left="540" w:right="529"/>
      </w:pPr>
      <w:r>
        <w:lastRenderedPageBreak/>
        <w:t>rainbow students raise concerns about their physical safety and fear of negative outcomes from</w:t>
      </w:r>
      <w:r>
        <w:rPr>
          <w:spacing w:val="1"/>
        </w:rPr>
        <w:t xml:space="preserve"> </w:t>
      </w:r>
      <w:r>
        <w:t>interacting with staff</w:t>
      </w:r>
      <w:r>
        <w:rPr>
          <w:vertAlign w:val="superscript"/>
        </w:rPr>
        <w:t>18,19,22</w:t>
      </w:r>
      <w:r>
        <w:t xml:space="preserve"> and rainbow staff feel the need to hide or contextualis</w:t>
      </w:r>
      <w:r>
        <w:t>e their identity in</w:t>
      </w:r>
      <w:r>
        <w:rPr>
          <w:spacing w:val="1"/>
        </w:rPr>
        <w:t xml:space="preserve"> </w:t>
      </w:r>
      <w:r>
        <w:t>their work place and in their teaching due to safety concerns</w:t>
      </w:r>
      <w:r>
        <w:rPr>
          <w:vertAlign w:val="superscript"/>
        </w:rPr>
        <w:t>18</w:t>
      </w:r>
      <w:r>
        <w:t>. While being visible on campus can</w:t>
      </w:r>
      <w:r>
        <w:rPr>
          <w:spacing w:val="1"/>
        </w:rPr>
        <w:t xml:space="preserve"> </w:t>
      </w:r>
      <w:r>
        <w:t>sometimes</w:t>
      </w:r>
      <w:r>
        <w:rPr>
          <w:spacing w:val="-2"/>
        </w:rPr>
        <w:t xml:space="preserve"> </w:t>
      </w:r>
      <w:r>
        <w:t>lead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different</w:t>
      </w:r>
      <w:r>
        <w:rPr>
          <w:spacing w:val="-4"/>
        </w:rPr>
        <w:t xml:space="preserve"> </w:t>
      </w:r>
      <w:r>
        <w:t>forms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discrimination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marginalisation,</w:t>
      </w:r>
      <w:r>
        <w:rPr>
          <w:spacing w:val="-2"/>
        </w:rPr>
        <w:t xml:space="preserve"> </w:t>
      </w:r>
      <w:r>
        <w:t>it can</w:t>
      </w:r>
      <w:r>
        <w:rPr>
          <w:spacing w:val="-2"/>
        </w:rPr>
        <w:t xml:space="preserve"> </w:t>
      </w:r>
      <w:r>
        <w:t>create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safer</w:t>
      </w:r>
      <w:r>
        <w:rPr>
          <w:spacing w:val="-3"/>
        </w:rPr>
        <w:t xml:space="preserve"> </w:t>
      </w:r>
      <w:r>
        <w:t>space</w:t>
      </w:r>
      <w:r>
        <w:rPr>
          <w:spacing w:val="-2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rainbow</w:t>
      </w:r>
      <w:r>
        <w:rPr>
          <w:spacing w:val="-2"/>
        </w:rPr>
        <w:t xml:space="preserve"> </w:t>
      </w:r>
      <w:r>
        <w:t>people</w:t>
      </w:r>
      <w:r>
        <w:rPr>
          <w:spacing w:val="-2"/>
        </w:rPr>
        <w:t xml:space="preserve"> </w:t>
      </w:r>
      <w:r>
        <w:t>and promote social</w:t>
      </w:r>
      <w:r>
        <w:rPr>
          <w:spacing w:val="1"/>
        </w:rPr>
        <w:t xml:space="preserve"> </w:t>
      </w:r>
      <w:r>
        <w:t>connectivity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academic success</w:t>
      </w:r>
      <w:r>
        <w:rPr>
          <w:vertAlign w:val="superscript"/>
        </w:rPr>
        <w:t>18</w:t>
      </w:r>
      <w:r>
        <w:t>.</w:t>
      </w:r>
    </w:p>
    <w:p w14:paraId="0511D00F" w14:textId="77777777" w:rsidR="002A14F8" w:rsidRDefault="002A14F8">
      <w:pPr>
        <w:pStyle w:val="BodyText"/>
        <w:spacing w:before="11"/>
        <w:rPr>
          <w:sz w:val="21"/>
        </w:rPr>
      </w:pPr>
    </w:p>
    <w:p w14:paraId="17678639" w14:textId="77777777" w:rsidR="002A14F8" w:rsidRDefault="003458B8">
      <w:pPr>
        <w:pStyle w:val="BodyText"/>
        <w:ind w:left="540" w:right="486"/>
      </w:pPr>
      <w:r>
        <w:t>It is necessary to recognise the specific experiences of rainbow people in anti-violence strategies,</w:t>
      </w:r>
      <w:r>
        <w:rPr>
          <w:spacing w:val="1"/>
        </w:rPr>
        <w:t xml:space="preserve"> </w:t>
      </w:r>
      <w:r>
        <w:t>policies, and services</w:t>
      </w:r>
      <w:r>
        <w:rPr>
          <w:vertAlign w:val="superscript"/>
        </w:rPr>
        <w:t>10,21</w:t>
      </w:r>
      <w:r>
        <w:t>. To resolve rainbow people’s reluctance to seek help from mainstream</w:t>
      </w:r>
      <w:r>
        <w:rPr>
          <w:spacing w:val="1"/>
        </w:rPr>
        <w:t xml:space="preserve"> </w:t>
      </w:r>
      <w:r>
        <w:t>s</w:t>
      </w:r>
      <w:r>
        <w:t>ervices due to homophobia, biphobia, and transphobia, there is a need to develop relationships with</w:t>
      </w:r>
      <w:r>
        <w:rPr>
          <w:spacing w:val="1"/>
        </w:rPr>
        <w:t xml:space="preserve"> </w:t>
      </w:r>
      <w:r>
        <w:t>rainbow people and training for mainstream violence services on preventing and responding to</w:t>
      </w:r>
      <w:r>
        <w:rPr>
          <w:spacing w:val="1"/>
        </w:rPr>
        <w:t xml:space="preserve"> </w:t>
      </w:r>
      <w:r>
        <w:t>rainbow people’s experiences of partner violence</w:t>
      </w:r>
      <w:r>
        <w:rPr>
          <w:vertAlign w:val="superscript"/>
        </w:rPr>
        <w:t>21</w:t>
      </w:r>
      <w:r>
        <w:t>. Institution</w:t>
      </w:r>
      <w:r>
        <w:t>s across various settings have the</w:t>
      </w:r>
      <w:r>
        <w:rPr>
          <w:spacing w:val="1"/>
        </w:rPr>
        <w:t xml:space="preserve"> </w:t>
      </w:r>
      <w:r>
        <w:t>obligations to dismantle systemic structures (cisheteronormativity) that contribute to the culture of</w:t>
      </w:r>
      <w:r>
        <w:rPr>
          <w:spacing w:val="1"/>
        </w:rPr>
        <w:t xml:space="preserve"> </w:t>
      </w:r>
      <w:r>
        <w:t>oppression towards rainbow people, as well as to protect these communities from discrimination by</w:t>
      </w:r>
      <w:r>
        <w:rPr>
          <w:spacing w:val="1"/>
        </w:rPr>
        <w:t xml:space="preserve"> </w:t>
      </w:r>
      <w:r>
        <w:t>providing comprehensi</w:t>
      </w:r>
      <w:r>
        <w:t>ve resources and training about human rights issues</w:t>
      </w:r>
      <w:r>
        <w:rPr>
          <w:vertAlign w:val="superscript"/>
        </w:rPr>
        <w:t>10</w:t>
      </w:r>
      <w:r>
        <w:t>. Cisnormativity also</w:t>
      </w:r>
      <w:r>
        <w:rPr>
          <w:spacing w:val="1"/>
        </w:rPr>
        <w:t xml:space="preserve"> </w:t>
      </w:r>
      <w:r>
        <w:t>prevails with the lack of insight into the specific discrimination faced by transgender people, lack of</w:t>
      </w:r>
      <w:r>
        <w:rPr>
          <w:spacing w:val="1"/>
        </w:rPr>
        <w:t xml:space="preserve"> </w:t>
      </w:r>
      <w:r>
        <w:t>inclusive gender-neutral facilities, and problems of non-inclusive gender opt</w:t>
      </w:r>
      <w:r>
        <w:t>ions on administrative</w:t>
      </w:r>
      <w:r>
        <w:rPr>
          <w:spacing w:val="1"/>
        </w:rPr>
        <w:t xml:space="preserve"> </w:t>
      </w:r>
      <w:r>
        <w:t>forms and within teaching activities</w:t>
      </w:r>
      <w:r>
        <w:rPr>
          <w:vertAlign w:val="superscript"/>
        </w:rPr>
        <w:t>10,18,19,22</w:t>
      </w:r>
      <w:r>
        <w:t>. There is a flow-on effect regarding feelings of safety, that</w:t>
      </w:r>
      <w:r>
        <w:rPr>
          <w:spacing w:val="-52"/>
        </w:rPr>
        <w:t xml:space="preserve"> </w:t>
      </w:r>
      <w:r>
        <w:t>is, the safer that a community or sub-community is, the safer one feels to be who one is and to be ‘out’</w:t>
      </w:r>
      <w:r>
        <w:rPr>
          <w:spacing w:val="-52"/>
        </w:rPr>
        <w:t xml:space="preserve"> </w:t>
      </w:r>
      <w:r>
        <w:t xml:space="preserve">in the community. </w:t>
      </w:r>
      <w:r>
        <w:t>This was illustrated in a consultation within a university environment</w:t>
      </w:r>
      <w:r>
        <w:rPr>
          <w:vertAlign w:val="superscript"/>
        </w:rPr>
        <w:t>18</w:t>
      </w:r>
      <w:r>
        <w:t>. Numerous</w:t>
      </w:r>
      <w:r>
        <w:rPr>
          <w:spacing w:val="1"/>
        </w:rPr>
        <w:t xml:space="preserve"> </w:t>
      </w:r>
      <w:r>
        <w:t>recommendations were provided to create a safe university space for diverse staff members and</w:t>
      </w:r>
      <w:r>
        <w:rPr>
          <w:spacing w:val="1"/>
        </w:rPr>
        <w:t xml:space="preserve"> </w:t>
      </w:r>
      <w:r>
        <w:t>students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thrive</w:t>
      </w:r>
      <w:r>
        <w:rPr>
          <w:spacing w:val="-2"/>
        </w:rPr>
        <w:t xml:space="preserve"> </w:t>
      </w:r>
      <w:r>
        <w:t>psychologically,</w:t>
      </w:r>
      <w:r>
        <w:rPr>
          <w:spacing w:val="-1"/>
        </w:rPr>
        <w:t xml:space="preserve"> </w:t>
      </w:r>
      <w:r>
        <w:t>socially,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academically</w:t>
      </w:r>
      <w:r>
        <w:rPr>
          <w:spacing w:val="-4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being</w:t>
      </w:r>
      <w:r>
        <w:rPr>
          <w:spacing w:val="-4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a</w:t>
      </w:r>
      <w:r>
        <w:t>uthentic</w:t>
      </w:r>
      <w:r>
        <w:rPr>
          <w:spacing w:val="-1"/>
        </w:rPr>
        <w:t xml:space="preserve"> </w:t>
      </w:r>
      <w:r>
        <w:t>'visible'</w:t>
      </w:r>
      <w:r>
        <w:rPr>
          <w:spacing w:val="-5"/>
        </w:rPr>
        <w:t xml:space="preserve"> </w:t>
      </w:r>
      <w:r>
        <w:t>self.</w:t>
      </w:r>
    </w:p>
    <w:p w14:paraId="79950A13" w14:textId="77777777" w:rsidR="002A14F8" w:rsidRDefault="003458B8">
      <w:pPr>
        <w:pStyle w:val="BodyText"/>
        <w:spacing w:before="3"/>
        <w:ind w:left="540"/>
      </w:pPr>
      <w:r>
        <w:t>These</w:t>
      </w:r>
      <w:r>
        <w:rPr>
          <w:spacing w:val="-3"/>
        </w:rPr>
        <w:t xml:space="preserve"> </w:t>
      </w:r>
      <w:r>
        <w:t>recommendations</w:t>
      </w:r>
      <w:r>
        <w:rPr>
          <w:spacing w:val="-1"/>
        </w:rPr>
        <w:t xml:space="preserve"> </w:t>
      </w:r>
      <w:r>
        <w:t>included:</w:t>
      </w:r>
    </w:p>
    <w:p w14:paraId="65B08525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2" w:line="237" w:lineRule="auto"/>
        <w:ind w:right="883"/>
        <w:rPr>
          <w:sz w:val="21"/>
        </w:rPr>
      </w:pPr>
      <w:r>
        <w:rPr>
          <w:sz w:val="21"/>
        </w:rPr>
        <w:t>raising awareness about rainbow issues to reduce rates of discrimination and harassment</w:t>
      </w:r>
      <w:r>
        <w:rPr>
          <w:spacing w:val="1"/>
          <w:sz w:val="21"/>
        </w:rPr>
        <w:t xml:space="preserve"> </w:t>
      </w:r>
      <w:r>
        <w:rPr>
          <w:sz w:val="21"/>
        </w:rPr>
        <w:t>experienced by rainbow students, delivering educational programmes for staff that support the</w:t>
      </w:r>
      <w:r>
        <w:rPr>
          <w:spacing w:val="-50"/>
          <w:sz w:val="21"/>
        </w:rPr>
        <w:t xml:space="preserve"> </w:t>
      </w:r>
      <w:r>
        <w:rPr>
          <w:sz w:val="21"/>
        </w:rPr>
        <w:t>active</w:t>
      </w:r>
      <w:r>
        <w:rPr>
          <w:spacing w:val="-1"/>
          <w:sz w:val="21"/>
        </w:rPr>
        <w:t xml:space="preserve"> </w:t>
      </w:r>
      <w:r>
        <w:rPr>
          <w:sz w:val="21"/>
        </w:rPr>
        <w:t>creation of</w:t>
      </w:r>
      <w:r>
        <w:rPr>
          <w:spacing w:val="-1"/>
          <w:sz w:val="21"/>
        </w:rPr>
        <w:t xml:space="preserve"> </w:t>
      </w:r>
      <w:r>
        <w:rPr>
          <w:sz w:val="21"/>
        </w:rPr>
        <w:t>inclusive environments</w:t>
      </w:r>
      <w:r>
        <w:rPr>
          <w:spacing w:val="-1"/>
          <w:sz w:val="21"/>
        </w:rPr>
        <w:t xml:space="preserve"> </w:t>
      </w:r>
      <w:r>
        <w:rPr>
          <w:sz w:val="21"/>
        </w:rPr>
        <w:t>for</w:t>
      </w:r>
      <w:r>
        <w:rPr>
          <w:spacing w:val="-1"/>
          <w:sz w:val="21"/>
        </w:rPr>
        <w:t xml:space="preserve"> </w:t>
      </w:r>
      <w:r>
        <w:rPr>
          <w:sz w:val="21"/>
        </w:rPr>
        <w:t>rainbow</w:t>
      </w:r>
      <w:r>
        <w:rPr>
          <w:spacing w:val="-1"/>
          <w:sz w:val="21"/>
        </w:rPr>
        <w:t xml:space="preserve"> </w:t>
      </w:r>
      <w:r>
        <w:rPr>
          <w:sz w:val="21"/>
        </w:rPr>
        <w:t>students</w:t>
      </w:r>
      <w:r>
        <w:rPr>
          <w:position w:val="7"/>
          <w:sz w:val="14"/>
        </w:rPr>
        <w:t>22</w:t>
      </w:r>
      <w:r>
        <w:rPr>
          <w:sz w:val="21"/>
        </w:rPr>
        <w:t>;</w:t>
      </w:r>
    </w:p>
    <w:p w14:paraId="3FF0BB3A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line="257" w:lineRule="exact"/>
        <w:ind w:hanging="361"/>
        <w:rPr>
          <w:sz w:val="21"/>
        </w:rPr>
      </w:pPr>
      <w:r>
        <w:rPr>
          <w:sz w:val="21"/>
        </w:rPr>
        <w:t>developing</w:t>
      </w:r>
      <w:r>
        <w:rPr>
          <w:spacing w:val="-1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comprehensive</w:t>
      </w:r>
      <w:r>
        <w:rPr>
          <w:spacing w:val="-1"/>
          <w:sz w:val="21"/>
        </w:rPr>
        <w:t xml:space="preserve"> </w:t>
      </w:r>
      <w:r>
        <w:rPr>
          <w:sz w:val="21"/>
        </w:rPr>
        <w:t>list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r>
        <w:rPr>
          <w:sz w:val="21"/>
        </w:rPr>
        <w:t>all</w:t>
      </w:r>
      <w:r>
        <w:rPr>
          <w:spacing w:val="-2"/>
          <w:sz w:val="21"/>
        </w:rPr>
        <w:t xml:space="preserve"> </w:t>
      </w:r>
      <w:r>
        <w:rPr>
          <w:sz w:val="21"/>
        </w:rPr>
        <w:t>current</w:t>
      </w:r>
      <w:r>
        <w:rPr>
          <w:spacing w:val="-1"/>
          <w:sz w:val="21"/>
        </w:rPr>
        <w:t xml:space="preserve"> </w:t>
      </w:r>
      <w:r>
        <w:rPr>
          <w:sz w:val="21"/>
        </w:rPr>
        <w:t>gender-neutral</w:t>
      </w:r>
      <w:r>
        <w:rPr>
          <w:spacing w:val="-2"/>
          <w:sz w:val="21"/>
        </w:rPr>
        <w:t xml:space="preserve"> </w:t>
      </w:r>
      <w:r>
        <w:rPr>
          <w:sz w:val="21"/>
        </w:rPr>
        <w:t>facilities</w:t>
      </w:r>
      <w:r>
        <w:rPr>
          <w:spacing w:val="-2"/>
          <w:sz w:val="21"/>
        </w:rPr>
        <w:t xml:space="preserve"> </w:t>
      </w:r>
      <w:r>
        <w:rPr>
          <w:sz w:val="21"/>
        </w:rPr>
        <w:t>on campus</w:t>
      </w:r>
      <w:r>
        <w:rPr>
          <w:position w:val="7"/>
          <w:sz w:val="14"/>
        </w:rPr>
        <w:t>18,19</w:t>
      </w:r>
      <w:r>
        <w:rPr>
          <w:sz w:val="21"/>
        </w:rPr>
        <w:t>;</w:t>
      </w:r>
    </w:p>
    <w:p w14:paraId="114B714C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4" w:line="235" w:lineRule="auto"/>
        <w:ind w:right="778"/>
        <w:rPr>
          <w:sz w:val="21"/>
        </w:rPr>
      </w:pPr>
      <w:r>
        <w:rPr>
          <w:sz w:val="21"/>
        </w:rPr>
        <w:t>investigating policies, processes and curricula to ascertain areas where diverse gender identities</w:t>
      </w:r>
      <w:r>
        <w:rPr>
          <w:spacing w:val="-50"/>
          <w:sz w:val="21"/>
        </w:rPr>
        <w:t xml:space="preserve"> </w:t>
      </w:r>
      <w:r>
        <w:rPr>
          <w:sz w:val="21"/>
        </w:rPr>
        <w:t>require</w:t>
      </w:r>
      <w:r>
        <w:rPr>
          <w:spacing w:val="-1"/>
          <w:sz w:val="21"/>
        </w:rPr>
        <w:t xml:space="preserve"> </w:t>
      </w:r>
      <w:r>
        <w:rPr>
          <w:sz w:val="21"/>
        </w:rPr>
        <w:t>inclusion</w:t>
      </w:r>
      <w:r>
        <w:rPr>
          <w:position w:val="7"/>
          <w:sz w:val="14"/>
        </w:rPr>
        <w:t>22</w:t>
      </w:r>
      <w:r>
        <w:rPr>
          <w:sz w:val="21"/>
        </w:rPr>
        <w:t>;</w:t>
      </w:r>
    </w:p>
    <w:p w14:paraId="16462031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ind w:right="825"/>
        <w:rPr>
          <w:sz w:val="21"/>
        </w:rPr>
      </w:pPr>
      <w:r>
        <w:rPr>
          <w:sz w:val="21"/>
        </w:rPr>
        <w:t>supporting ongoing research into overcoming barriers to expanding gender-neutral facilities on</w:t>
      </w:r>
      <w:r>
        <w:rPr>
          <w:spacing w:val="-50"/>
          <w:sz w:val="21"/>
        </w:rPr>
        <w:t xml:space="preserve"> </w:t>
      </w:r>
      <w:r>
        <w:rPr>
          <w:sz w:val="21"/>
        </w:rPr>
        <w:t>campus;</w:t>
      </w:r>
      <w:r>
        <w:rPr>
          <w:spacing w:val="-2"/>
          <w:sz w:val="21"/>
        </w:rPr>
        <w:t xml:space="preserve"> </w:t>
      </w:r>
      <w:r>
        <w:rPr>
          <w:sz w:val="21"/>
        </w:rPr>
        <w:t>and</w:t>
      </w:r>
    </w:p>
    <w:p w14:paraId="1B4DB864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ind w:hanging="361"/>
        <w:rPr>
          <w:sz w:val="21"/>
        </w:rPr>
      </w:pPr>
      <w:r>
        <w:rPr>
          <w:sz w:val="21"/>
        </w:rPr>
        <w:t>creating</w:t>
      </w:r>
      <w:r>
        <w:rPr>
          <w:spacing w:val="-2"/>
          <w:sz w:val="21"/>
        </w:rPr>
        <w:t xml:space="preserve"> </w:t>
      </w:r>
      <w:r>
        <w:rPr>
          <w:sz w:val="21"/>
        </w:rPr>
        <w:t>events</w:t>
      </w:r>
      <w:r>
        <w:rPr>
          <w:spacing w:val="-1"/>
          <w:sz w:val="21"/>
        </w:rPr>
        <w:t xml:space="preserve"> </w:t>
      </w:r>
      <w:r>
        <w:rPr>
          <w:sz w:val="21"/>
        </w:rPr>
        <w:t>where</w:t>
      </w:r>
      <w:r>
        <w:rPr>
          <w:spacing w:val="-1"/>
          <w:sz w:val="21"/>
        </w:rPr>
        <w:t xml:space="preserve"> </w:t>
      </w:r>
      <w:r>
        <w:rPr>
          <w:sz w:val="21"/>
        </w:rPr>
        <w:t>finding</w:t>
      </w:r>
      <w:r>
        <w:rPr>
          <w:sz w:val="21"/>
        </w:rPr>
        <w:t>s</w:t>
      </w:r>
      <w:r>
        <w:rPr>
          <w:spacing w:val="-1"/>
          <w:sz w:val="21"/>
        </w:rPr>
        <w:t xml:space="preserve"> </w:t>
      </w:r>
      <w:r>
        <w:rPr>
          <w:sz w:val="21"/>
        </w:rPr>
        <w:t>relating</w:t>
      </w:r>
      <w:r>
        <w:rPr>
          <w:spacing w:val="-1"/>
          <w:sz w:val="21"/>
        </w:rPr>
        <w:t xml:space="preserve"> </w:t>
      </w:r>
      <w:r>
        <w:rPr>
          <w:sz w:val="21"/>
        </w:rPr>
        <w:t>to</w:t>
      </w:r>
      <w:r>
        <w:rPr>
          <w:spacing w:val="-2"/>
          <w:sz w:val="21"/>
        </w:rPr>
        <w:t xml:space="preserve"> </w:t>
      </w:r>
      <w:r>
        <w:rPr>
          <w:sz w:val="21"/>
        </w:rPr>
        <w:t>rainbow</w:t>
      </w:r>
      <w:r>
        <w:rPr>
          <w:spacing w:val="-2"/>
          <w:sz w:val="21"/>
        </w:rPr>
        <w:t xml:space="preserve"> </w:t>
      </w:r>
      <w:r>
        <w:rPr>
          <w:sz w:val="21"/>
        </w:rPr>
        <w:t>communities</w:t>
      </w:r>
      <w:r>
        <w:rPr>
          <w:spacing w:val="-2"/>
          <w:sz w:val="21"/>
        </w:rPr>
        <w:t xml:space="preserve"> </w:t>
      </w:r>
      <w:r>
        <w:rPr>
          <w:sz w:val="21"/>
        </w:rPr>
        <w:t>can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celebrated</w:t>
      </w:r>
      <w:r>
        <w:rPr>
          <w:position w:val="7"/>
          <w:sz w:val="14"/>
        </w:rPr>
        <w:t>22</w:t>
      </w:r>
      <w:r>
        <w:rPr>
          <w:sz w:val="21"/>
        </w:rPr>
        <w:t>.</w:t>
      </w:r>
    </w:p>
    <w:p w14:paraId="0FA79DD6" w14:textId="77777777" w:rsidR="002A14F8" w:rsidRDefault="002A14F8">
      <w:pPr>
        <w:pStyle w:val="BodyText"/>
        <w:spacing w:before="9"/>
        <w:rPr>
          <w:sz w:val="21"/>
        </w:rPr>
      </w:pPr>
    </w:p>
    <w:p w14:paraId="2C5ED57D" w14:textId="77777777" w:rsidR="002A14F8" w:rsidRDefault="003458B8">
      <w:pPr>
        <w:pStyle w:val="BodyText"/>
        <w:ind w:left="540" w:right="609"/>
      </w:pPr>
      <w:r>
        <w:t>It is a concern that rainbow people are less likely to feel belonging to neighbourhood and workplace</w:t>
      </w:r>
      <w:r>
        <w:rPr>
          <w:spacing w:val="1"/>
        </w:rPr>
        <w:t xml:space="preserve"> </w:t>
      </w:r>
      <w:r>
        <w:t>compared to the general population</w:t>
      </w:r>
      <w:r>
        <w:rPr>
          <w:vertAlign w:val="superscript"/>
        </w:rPr>
        <w:t>10</w:t>
      </w:r>
      <w:r>
        <w:t>. For rainbow people who have experienced abusive</w:t>
      </w:r>
      <w:r>
        <w:rPr>
          <w:spacing w:val="1"/>
        </w:rPr>
        <w:t xml:space="preserve"> </w:t>
      </w:r>
      <w:r>
        <w:t>relationships, friends and family members were rated as most supportive, followed by counsellors,</w:t>
      </w:r>
      <w:r>
        <w:rPr>
          <w:spacing w:val="1"/>
        </w:rPr>
        <w:t xml:space="preserve"> </w:t>
      </w:r>
      <w:r>
        <w:t>and sexual violence agencies</w:t>
      </w:r>
      <w:r>
        <w:rPr>
          <w:vertAlign w:val="superscript"/>
        </w:rPr>
        <w:t>21</w:t>
      </w:r>
      <w:r>
        <w:t>. While biological family/whānau members were identified as key</w:t>
      </w:r>
      <w:r>
        <w:rPr>
          <w:spacing w:val="1"/>
        </w:rPr>
        <w:t xml:space="preserve"> </w:t>
      </w:r>
      <w:r>
        <w:t xml:space="preserve">components of </w:t>
      </w:r>
      <w:r>
        <w:t>their support networks, whether they were children, grandchildren, siblings, or other</w:t>
      </w:r>
      <w:r>
        <w:rPr>
          <w:spacing w:val="1"/>
        </w:rPr>
        <w:t xml:space="preserve"> </w:t>
      </w:r>
      <w:r>
        <w:t>relatives, this was not a universal finding, as some rainbow people reported experiences of rejection</w:t>
      </w:r>
      <w:r>
        <w:rPr>
          <w:spacing w:val="1"/>
        </w:rPr>
        <w:t xml:space="preserve"> </w:t>
      </w:r>
      <w:r>
        <w:t>from their family</w:t>
      </w:r>
      <w:r>
        <w:rPr>
          <w:vertAlign w:val="superscript"/>
        </w:rPr>
        <w:t>23</w:t>
      </w:r>
      <w:r>
        <w:t xml:space="preserve">. Resources about supporting rainbow communities </w:t>
      </w:r>
      <w:r>
        <w:t>focusing on friends, family,</w:t>
      </w:r>
      <w:r>
        <w:rPr>
          <w:spacing w:val="1"/>
        </w:rPr>
        <w:t xml:space="preserve"> </w:t>
      </w:r>
      <w:r>
        <w:t>and whānau should be widely distributed</w:t>
      </w:r>
      <w:r>
        <w:rPr>
          <w:vertAlign w:val="superscript"/>
        </w:rPr>
        <w:t>21,24</w:t>
      </w:r>
      <w:r>
        <w:t>. Whānau is the first and most important place of</w:t>
      </w:r>
      <w:r>
        <w:rPr>
          <w:spacing w:val="1"/>
        </w:rPr>
        <w:t xml:space="preserve"> </w:t>
      </w:r>
      <w:r>
        <w:t>protection for takatāpui rangatahi (rainbow youth) who face violence and abuse in their lives</w:t>
      </w:r>
      <w:r>
        <w:rPr>
          <w:vertAlign w:val="superscript"/>
        </w:rPr>
        <w:t>25</w:t>
      </w:r>
      <w:r>
        <w:t>, and it</w:t>
      </w:r>
      <w:r>
        <w:rPr>
          <w:spacing w:val="-52"/>
        </w:rPr>
        <w:t xml:space="preserve"> </w:t>
      </w:r>
      <w:r>
        <w:t>is the whānau’s responsibilit</w:t>
      </w:r>
      <w:r>
        <w:t>y to ensure that takatāpui rangatahi recognised that their inclusion was</w:t>
      </w:r>
      <w:r>
        <w:rPr>
          <w:spacing w:val="1"/>
        </w:rPr>
        <w:t xml:space="preserve"> </w:t>
      </w:r>
      <w:r>
        <w:t>never in doubt. True acceptance of takatāpui rangatahi is more than just accepting them as individual</w:t>
      </w:r>
      <w:r>
        <w:rPr>
          <w:spacing w:val="-52"/>
        </w:rPr>
        <w:t xml:space="preserve"> </w:t>
      </w:r>
      <w:r>
        <w:t>members of the whānau,</w:t>
      </w:r>
      <w:r>
        <w:rPr>
          <w:spacing w:val="1"/>
        </w:rPr>
        <w:t xml:space="preserve"> </w:t>
      </w:r>
      <w:r>
        <w:t xml:space="preserve">it extends to the partners they brought home, the friends </w:t>
      </w:r>
      <w:r>
        <w:t>they found and the</w:t>
      </w:r>
      <w:r>
        <w:rPr>
          <w:spacing w:val="-52"/>
        </w:rPr>
        <w:t xml:space="preserve"> </w:t>
      </w:r>
      <w:r>
        <w:t>rainbow</w:t>
      </w:r>
      <w:r>
        <w:rPr>
          <w:spacing w:val="-2"/>
        </w:rPr>
        <w:t xml:space="preserve"> </w:t>
      </w:r>
      <w:r>
        <w:t>organisations and</w:t>
      </w:r>
      <w:r>
        <w:rPr>
          <w:spacing w:val="-3"/>
        </w:rPr>
        <w:t xml:space="preserve"> </w:t>
      </w:r>
      <w:r>
        <w:t>activism</w:t>
      </w:r>
      <w:r>
        <w:rPr>
          <w:spacing w:val="-4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became involved with</w:t>
      </w:r>
      <w:r>
        <w:rPr>
          <w:vertAlign w:val="superscript"/>
        </w:rPr>
        <w:t>25</w:t>
      </w:r>
      <w:r>
        <w:t>.</w:t>
      </w:r>
    </w:p>
    <w:p w14:paraId="4D30DF78" w14:textId="77777777" w:rsidR="002A14F8" w:rsidRDefault="002A14F8">
      <w:pPr>
        <w:pStyle w:val="BodyText"/>
        <w:spacing w:before="1"/>
      </w:pPr>
    </w:p>
    <w:p w14:paraId="66F9EE3C" w14:textId="77777777" w:rsidR="002A14F8" w:rsidRDefault="003458B8">
      <w:pPr>
        <w:pStyle w:val="BodyText"/>
        <w:ind w:left="540" w:right="553"/>
      </w:pPr>
      <w:r>
        <w:t>Rainbow support groups on campus that aim to provide inclusive, visible, and responsive services are</w:t>
      </w:r>
      <w:r>
        <w:rPr>
          <w:spacing w:val="-52"/>
        </w:rPr>
        <w:t xml:space="preserve"> </w:t>
      </w:r>
      <w:r>
        <w:t>essential for rainbow students</w:t>
      </w:r>
      <w:r>
        <w:rPr>
          <w:vertAlign w:val="superscript"/>
        </w:rPr>
        <w:t>18,19</w:t>
      </w:r>
      <w:r>
        <w:t>, especially when advocating for ant</w:t>
      </w:r>
      <w:r>
        <w:t>i-discriminatory policies and</w:t>
      </w:r>
      <w:r>
        <w:rPr>
          <w:spacing w:val="1"/>
        </w:rPr>
        <w:t xml:space="preserve"> </w:t>
      </w:r>
      <w:r>
        <w:t>other core issues such as availability of gender-neutral bathrooms</w:t>
      </w:r>
      <w:r>
        <w:rPr>
          <w:vertAlign w:val="superscript"/>
        </w:rPr>
        <w:t>19</w:t>
      </w:r>
      <w:r>
        <w:t>. Rainbow pride events were</w:t>
      </w:r>
      <w:r>
        <w:rPr>
          <w:spacing w:val="1"/>
        </w:rPr>
        <w:t xml:space="preserve"> </w:t>
      </w:r>
      <w:r>
        <w:t>framed as an opportunity to implement social processes of inclusivity, raising awareness and activism</w:t>
      </w:r>
      <w:r>
        <w:rPr>
          <w:spacing w:val="-52"/>
        </w:rPr>
        <w:t xml:space="preserve"> </w:t>
      </w:r>
      <w:r>
        <w:t>to facilitate the normalisat</w:t>
      </w:r>
      <w:r>
        <w:t>ion of rainbow identities, and were important for rainbow people to</w:t>
      </w:r>
      <w:r>
        <w:rPr>
          <w:spacing w:val="1"/>
        </w:rPr>
        <w:t xml:space="preserve"> </w:t>
      </w:r>
      <w:r>
        <w:t>demonstrate increased resistance to discrimination through social processes including social support</w:t>
      </w:r>
      <w:r>
        <w:rPr>
          <w:spacing w:val="1"/>
        </w:rPr>
        <w:t xml:space="preserve"> </w:t>
      </w:r>
      <w:r>
        <w:t>and activism</w:t>
      </w:r>
      <w:r>
        <w:rPr>
          <w:vertAlign w:val="superscript"/>
        </w:rPr>
        <w:t>11</w:t>
      </w:r>
      <w:r>
        <w:t>. A positive interaction between rainbow and straight individuals at rain</w:t>
      </w:r>
      <w:r>
        <w:t>bow pride</w:t>
      </w:r>
      <w:r>
        <w:rPr>
          <w:spacing w:val="1"/>
        </w:rPr>
        <w:t xml:space="preserve"> </w:t>
      </w:r>
      <w:r>
        <w:t>events was found to foster a visual representation of public support and frames queer communities as</w:t>
      </w:r>
      <w:r>
        <w:rPr>
          <w:spacing w:val="1"/>
        </w:rPr>
        <w:t xml:space="preserve"> </w:t>
      </w:r>
      <w:r>
        <w:t>received</w:t>
      </w:r>
      <w:r>
        <w:rPr>
          <w:spacing w:val="-2"/>
        </w:rPr>
        <w:t xml:space="preserve"> </w:t>
      </w:r>
      <w:r>
        <w:t>identities</w:t>
      </w:r>
      <w:r>
        <w:rPr>
          <w:spacing w:val="-1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society</w:t>
      </w:r>
      <w:r>
        <w:rPr>
          <w:vertAlign w:val="superscript"/>
        </w:rPr>
        <w:t>11</w:t>
      </w:r>
      <w:r>
        <w:t>.</w:t>
      </w:r>
      <w:r>
        <w:rPr>
          <w:spacing w:val="-1"/>
        </w:rPr>
        <w:t xml:space="preserve"> </w:t>
      </w:r>
      <w:r>
        <w:t>Encouraging</w:t>
      </w:r>
      <w:r>
        <w:rPr>
          <w:spacing w:val="-4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belonging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connectedness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vital</w:t>
      </w:r>
      <w:r>
        <w:rPr>
          <w:spacing w:val="-1"/>
        </w:rPr>
        <w:t xml:space="preserve"> </w:t>
      </w:r>
      <w:r>
        <w:t>to</w:t>
      </w:r>
    </w:p>
    <w:p w14:paraId="1D35665D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24A4CD36" w14:textId="77777777" w:rsidR="002A14F8" w:rsidRDefault="003458B8">
      <w:pPr>
        <w:pStyle w:val="BodyText"/>
        <w:spacing w:before="75"/>
        <w:ind w:left="540" w:right="1207"/>
      </w:pPr>
      <w:r>
        <w:lastRenderedPageBreak/>
        <w:t>ensuring that rainbow youth are able to make meaning of their wider communities, which thus</w:t>
      </w:r>
      <w:r>
        <w:rPr>
          <w:spacing w:val="-52"/>
        </w:rPr>
        <w:t xml:space="preserve"> </w:t>
      </w:r>
      <w:r>
        <w:t>facilitates</w:t>
      </w:r>
      <w:r>
        <w:rPr>
          <w:spacing w:val="-1"/>
        </w:rPr>
        <w:t xml:space="preserve"> </w:t>
      </w:r>
      <w:r>
        <w:t>political</w:t>
      </w:r>
      <w:r>
        <w:rPr>
          <w:spacing w:val="-2"/>
        </w:rPr>
        <w:t xml:space="preserve"> </w:t>
      </w:r>
      <w:r>
        <w:t>and civic engagement</w:t>
      </w:r>
      <w:r>
        <w:rPr>
          <w:vertAlign w:val="superscript"/>
        </w:rPr>
        <w:t>26</w:t>
      </w:r>
      <w:r>
        <w:t>.</w:t>
      </w:r>
    </w:p>
    <w:p w14:paraId="616158C5" w14:textId="77777777" w:rsidR="002A14F8" w:rsidRDefault="002A14F8">
      <w:pPr>
        <w:pStyle w:val="BodyText"/>
      </w:pPr>
    </w:p>
    <w:p w14:paraId="6E977AB2" w14:textId="77777777" w:rsidR="002A14F8" w:rsidRDefault="003458B8">
      <w:pPr>
        <w:pStyle w:val="BodyText"/>
        <w:ind w:left="540" w:right="497"/>
      </w:pPr>
      <w:r>
        <w:t>School</w:t>
      </w:r>
      <w:r>
        <w:rPr>
          <w:spacing w:val="3"/>
        </w:rPr>
        <w:t xml:space="preserve"> </w:t>
      </w:r>
      <w:r>
        <w:t>cultures</w:t>
      </w:r>
      <w:r>
        <w:rPr>
          <w:spacing w:val="6"/>
        </w:rPr>
        <w:t xml:space="preserve"> </w:t>
      </w:r>
      <w:r>
        <w:t>were</w:t>
      </w:r>
      <w:r>
        <w:rPr>
          <w:spacing w:val="4"/>
        </w:rPr>
        <w:t xml:space="preserve"> </w:t>
      </w:r>
      <w:r>
        <w:t>largely</w:t>
      </w:r>
      <w:r>
        <w:rPr>
          <w:spacing w:val="3"/>
        </w:rPr>
        <w:t xml:space="preserve"> </w:t>
      </w:r>
      <w:r>
        <w:t>described</w:t>
      </w:r>
      <w:r>
        <w:rPr>
          <w:spacing w:val="6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negative</w:t>
      </w:r>
      <w:r>
        <w:rPr>
          <w:spacing w:val="5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transgender</w:t>
      </w:r>
      <w:r>
        <w:rPr>
          <w:spacing w:val="6"/>
        </w:rPr>
        <w:t xml:space="preserve"> </w:t>
      </w:r>
      <w:r>
        <w:t>students</w:t>
      </w:r>
      <w:r>
        <w:rPr>
          <w:vertAlign w:val="superscript"/>
        </w:rPr>
        <w:t>27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hostile</w:t>
      </w:r>
      <w:r>
        <w:rPr>
          <w:spacing w:val="4"/>
        </w:rPr>
        <w:t xml:space="preserve"> </w:t>
      </w:r>
      <w:r>
        <w:t>towards</w:t>
      </w:r>
      <w:r>
        <w:rPr>
          <w:spacing w:val="1"/>
        </w:rPr>
        <w:t xml:space="preserve"> </w:t>
      </w:r>
      <w:r>
        <w:t>queer attractions</w:t>
      </w:r>
      <w:r>
        <w:rPr>
          <w:vertAlign w:val="superscript"/>
        </w:rPr>
        <w:t>17</w:t>
      </w:r>
      <w:r>
        <w:t>.</w:t>
      </w:r>
      <w:r>
        <w:t xml:space="preserve"> Rainbow youth spoke about wanting to have their identity acknowledged</w:t>
      </w:r>
      <w:r>
        <w:rPr>
          <w:spacing w:val="1"/>
        </w:rPr>
        <w:t xml:space="preserve"> </w:t>
      </w:r>
      <w:r>
        <w:t>regardless of their sexual orientation and gender; they didn’t want to be put in a box</w:t>
      </w:r>
      <w:r>
        <w:rPr>
          <w:vertAlign w:val="superscript"/>
        </w:rPr>
        <w:t>28</w:t>
      </w:r>
      <w:r>
        <w:t>. Some schools</w:t>
      </w:r>
      <w:r>
        <w:rPr>
          <w:spacing w:val="1"/>
        </w:rPr>
        <w:t xml:space="preserve"> </w:t>
      </w:r>
      <w:r>
        <w:t>were found to be discouraging students from attending formals or balls with same-g</w:t>
      </w:r>
      <w:r>
        <w:t>ender partners</w:t>
      </w:r>
      <w:r>
        <w:rPr>
          <w:spacing w:val="1"/>
        </w:rPr>
        <w:t xml:space="preserve"> </w:t>
      </w:r>
      <w:r>
        <w:t>because of the potential harassment they could receive</w:t>
      </w:r>
      <w:r>
        <w:rPr>
          <w:vertAlign w:val="superscript"/>
        </w:rPr>
        <w:t>17</w:t>
      </w:r>
      <w:r>
        <w:t>. Transgender students reported a lack of</w:t>
      </w:r>
      <w:r>
        <w:rPr>
          <w:spacing w:val="1"/>
        </w:rPr>
        <w:t xml:space="preserve"> </w:t>
      </w:r>
      <w:r>
        <w:t>important legal protection which would enable them to participate fully in school</w:t>
      </w:r>
      <w:r>
        <w:rPr>
          <w:vertAlign w:val="superscript"/>
        </w:rPr>
        <w:t>29</w:t>
      </w:r>
      <w:r>
        <w:t>. Reducing bullying</w:t>
      </w:r>
      <w:r>
        <w:rPr>
          <w:spacing w:val="-52"/>
        </w:rPr>
        <w:t xml:space="preserve"> </w:t>
      </w:r>
      <w:r>
        <w:t>related to rainbow identity and expressi</w:t>
      </w:r>
      <w:r>
        <w:t>on is likely to have a positive effect on the mental health and</w:t>
      </w:r>
      <w:r>
        <w:rPr>
          <w:spacing w:val="1"/>
        </w:rPr>
        <w:t xml:space="preserve"> </w:t>
      </w:r>
      <w:r>
        <w:t>educational achievement of rainbow youth</w:t>
      </w:r>
      <w:r>
        <w:rPr>
          <w:vertAlign w:val="superscript"/>
        </w:rPr>
        <w:t>13,14,27</w:t>
      </w:r>
      <w:r>
        <w:t>. Challenging cisheteronormativity should become the</w:t>
      </w:r>
      <w:r>
        <w:rPr>
          <w:spacing w:val="-52"/>
        </w:rPr>
        <w:t xml:space="preserve"> </w:t>
      </w:r>
      <w:r>
        <w:t>dominant pedagogy within schools</w:t>
      </w:r>
      <w:r>
        <w:rPr>
          <w:vertAlign w:val="superscript"/>
        </w:rPr>
        <w:t>30</w:t>
      </w:r>
      <w:r>
        <w:t>. The current cisheteronormativity state pervading school</w:t>
      </w:r>
      <w:r>
        <w:t>s</w:t>
      </w:r>
      <w:r>
        <w:rPr>
          <w:vertAlign w:val="superscript"/>
        </w:rPr>
        <w:t>14</w:t>
      </w:r>
      <w:r>
        <w:t xml:space="preserve"> calls</w:t>
      </w:r>
      <w:r>
        <w:rPr>
          <w:spacing w:val="1"/>
        </w:rPr>
        <w:t xml:space="preserve"> </w:t>
      </w:r>
      <w:r>
        <w:t>for a need to create safe spaces of belonging for rainbow youth, so they have the space to grow,</w:t>
      </w:r>
      <w:r>
        <w:rPr>
          <w:spacing w:val="1"/>
        </w:rPr>
        <w:t xml:space="preserve"> </w:t>
      </w:r>
      <w:r>
        <w:t>explore, and learn</w:t>
      </w:r>
      <w:r>
        <w:rPr>
          <w:vertAlign w:val="superscript"/>
        </w:rPr>
        <w:t>13,26,27</w:t>
      </w:r>
      <w:r>
        <w:t>. School management not only has a legal duty to affirm sexual and gender</w:t>
      </w:r>
      <w:r>
        <w:rPr>
          <w:spacing w:val="1"/>
        </w:rPr>
        <w:t xml:space="preserve"> </w:t>
      </w:r>
      <w:r>
        <w:t>diversity within the school. It also has a moral responsibility to do so, including putting in place</w:t>
      </w:r>
      <w:r>
        <w:rPr>
          <w:spacing w:val="1"/>
        </w:rPr>
        <w:t xml:space="preserve"> </w:t>
      </w:r>
      <w:r>
        <w:t>explicit non-discriminatory policies against rainbow students and staff, encourag</w:t>
      </w:r>
      <w:r>
        <w:t>ing rainbow students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attend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formals</w:t>
      </w:r>
      <w:r>
        <w:rPr>
          <w:spacing w:val="3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balls</w:t>
      </w:r>
      <w:r>
        <w:rPr>
          <w:spacing w:val="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their</w:t>
      </w:r>
      <w:r>
        <w:rPr>
          <w:spacing w:val="3"/>
        </w:rPr>
        <w:t xml:space="preserve"> </w:t>
      </w:r>
      <w:r>
        <w:t>same-gender</w:t>
      </w:r>
      <w:r>
        <w:rPr>
          <w:spacing w:val="2"/>
        </w:rPr>
        <w:t xml:space="preserve"> </w:t>
      </w:r>
      <w:r>
        <w:t>partners, encouraging students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teachers</w:t>
      </w:r>
      <w:r>
        <w:rPr>
          <w:spacing w:val="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use rainbow students’ preferred pronouns, having trans-accessible toilets, and educating all students</w:t>
      </w:r>
      <w:r>
        <w:rPr>
          <w:spacing w:val="1"/>
        </w:rPr>
        <w:t xml:space="preserve"> </w:t>
      </w:r>
      <w:r>
        <w:t>about rainbow issues</w:t>
      </w:r>
      <w:r>
        <w:rPr>
          <w:vertAlign w:val="superscript"/>
        </w:rPr>
        <w:t>17,29</w:t>
      </w:r>
      <w:r>
        <w:t>. Effor</w:t>
      </w:r>
      <w:r>
        <w:t>ts to reduce discrimination and harassment against rainbow people</w:t>
      </w:r>
      <w:r>
        <w:rPr>
          <w:spacing w:val="1"/>
        </w:rPr>
        <w:t xml:space="preserve"> </w:t>
      </w:r>
      <w:r>
        <w:t>should address gender identity and sexual orientation as a distinct but related area of marginalisation,</w:t>
      </w:r>
      <w:r>
        <w:rPr>
          <w:spacing w:val="1"/>
        </w:rPr>
        <w:t xml:space="preserve"> </w:t>
      </w:r>
      <w:r>
        <w:t>such as in the Otago University study</w:t>
      </w:r>
      <w:r>
        <w:rPr>
          <w:vertAlign w:val="superscript"/>
        </w:rPr>
        <w:t>19</w:t>
      </w:r>
      <w:r>
        <w:t>. While rainbow people experience shared forms</w:t>
      </w:r>
      <w:r>
        <w:t xml:space="preserve"> of</w:t>
      </w:r>
      <w:r>
        <w:rPr>
          <w:spacing w:val="1"/>
        </w:rPr>
        <w:t xml:space="preserve"> </w:t>
      </w:r>
      <w:r>
        <w:t>discrimination as well as shared sense of pride and strength in the face of adversity, people with</w:t>
      </w:r>
      <w:r>
        <w:rPr>
          <w:spacing w:val="1"/>
        </w:rPr>
        <w:t xml:space="preserve"> </w:t>
      </w:r>
      <w:r>
        <w:t>particular gender identities and sexual orientations can experience unique forms of discrimination)</w:t>
      </w:r>
      <w:r>
        <w:rPr>
          <w:vertAlign w:val="superscript"/>
        </w:rPr>
        <w:t>19</w:t>
      </w:r>
      <w:r>
        <w:t>.</w:t>
      </w:r>
      <w:r>
        <w:rPr>
          <w:spacing w:val="1"/>
        </w:rPr>
        <w:t xml:space="preserve"> </w:t>
      </w:r>
      <w:r>
        <w:t>Rural towns can be isolating and unsafe for rainbo</w:t>
      </w:r>
      <w:r>
        <w:t>w people wanting to explore their identities</w:t>
      </w:r>
      <w:r>
        <w:rPr>
          <w:vertAlign w:val="superscript"/>
        </w:rPr>
        <w:t>13</w:t>
      </w:r>
      <w:r>
        <w:t>. Older</w:t>
      </w:r>
      <w:r>
        <w:rPr>
          <w:spacing w:val="-52"/>
        </w:rPr>
        <w:t xml:space="preserve"> </w:t>
      </w:r>
      <w:r>
        <w:t>rainbow people experience what is often referred to as “double jeopardy”; where they are stigmatised</w:t>
      </w:r>
      <w:r>
        <w:rPr>
          <w:spacing w:val="1"/>
        </w:rPr>
        <w:t xml:space="preserve"> </w:t>
      </w:r>
      <w:r>
        <w:t>not only because of their sexual identity but also because of their age</w:t>
      </w:r>
      <w:r>
        <w:rPr>
          <w:vertAlign w:val="superscript"/>
        </w:rPr>
        <w:t>20</w:t>
      </w:r>
      <w:r>
        <w:t>. Mental health challenges</w:t>
      </w:r>
      <w:r>
        <w:rPr>
          <w:spacing w:val="1"/>
        </w:rPr>
        <w:t xml:space="preserve"> </w:t>
      </w:r>
      <w:r>
        <w:t>a</w:t>
      </w:r>
      <w:r>
        <w:t>ffecting rainbow people should be also understood by linking to racism, sexism, cisheteronormativity</w:t>
      </w:r>
      <w:r>
        <w:rPr>
          <w:spacing w:val="-52"/>
        </w:rPr>
        <w:t xml:space="preserve"> </w:t>
      </w:r>
      <w:r>
        <w:t>and challenges in relation to intersecting identities</w:t>
      </w:r>
      <w:r>
        <w:rPr>
          <w:vertAlign w:val="superscript"/>
        </w:rPr>
        <w:t>15,23</w:t>
      </w:r>
      <w:r>
        <w:t>. For Asian rainbow people, community</w:t>
      </w:r>
      <w:r>
        <w:rPr>
          <w:spacing w:val="1"/>
        </w:rPr>
        <w:t xml:space="preserve"> </w:t>
      </w:r>
      <w:r>
        <w:t>connections, family/whānau and peer support and role models</w:t>
      </w:r>
      <w:r>
        <w:t xml:space="preserve"> could facilitate resiliency</w:t>
      </w:r>
      <w:r>
        <w:rPr>
          <w:vertAlign w:val="superscript"/>
        </w:rPr>
        <w:t>15</w:t>
      </w:r>
      <w:r>
        <w:t>. Claiming</w:t>
      </w:r>
      <w:r>
        <w:rPr>
          <w:spacing w:val="1"/>
        </w:rPr>
        <w:t xml:space="preserve"> </w:t>
      </w:r>
      <w:r>
        <w:t>takatāpui identity could be seen as a means of decolonisation with cisheteronormativity being</w:t>
      </w:r>
      <w:r>
        <w:rPr>
          <w:spacing w:val="1"/>
        </w:rPr>
        <w:t xml:space="preserve"> </w:t>
      </w:r>
      <w:r>
        <w:t>normalised in the context of colonisation for Māori, and is particularly important as it enables</w:t>
      </w:r>
      <w:r>
        <w:rPr>
          <w:spacing w:val="1"/>
        </w:rPr>
        <w:t xml:space="preserve"> </w:t>
      </w:r>
      <w:r>
        <w:t>takatāpui to reframe the</w:t>
      </w:r>
      <w:r>
        <w:t>ir identity from negative or marginalised to one based on whakapapa, te reo</w:t>
      </w:r>
      <w:r>
        <w:rPr>
          <w:spacing w:val="1"/>
        </w:rPr>
        <w:t xml:space="preserve"> </w:t>
      </w:r>
      <w:r>
        <w:t>and tikanga, inclusion, intergenerational values, and belonging</w:t>
      </w:r>
      <w:r>
        <w:rPr>
          <w:vertAlign w:val="superscript"/>
        </w:rPr>
        <w:t>25</w:t>
      </w:r>
      <w:r>
        <w:t>. Gender identity and expression,</w:t>
      </w:r>
      <w:r>
        <w:rPr>
          <w:spacing w:val="1"/>
        </w:rPr>
        <w:t xml:space="preserve"> </w:t>
      </w:r>
      <w:r>
        <w:t>sexual identity and being true to oneself are integral to being a rainbow person,</w:t>
      </w:r>
      <w:r>
        <w:t xml:space="preserve"> and it is a part of</w:t>
      </w:r>
      <w:r>
        <w:rPr>
          <w:spacing w:val="1"/>
        </w:rPr>
        <w:t xml:space="preserve"> </w:t>
      </w:r>
      <w:r>
        <w:t>wairua of</w:t>
      </w:r>
      <w:r>
        <w:rPr>
          <w:spacing w:val="-3"/>
        </w:rPr>
        <w:t xml:space="preserve"> </w:t>
      </w:r>
      <w:r>
        <w:t>takatāpui.</w:t>
      </w:r>
    </w:p>
    <w:p w14:paraId="444AE58A" w14:textId="77777777" w:rsidR="002A14F8" w:rsidRDefault="002A14F8">
      <w:pPr>
        <w:pStyle w:val="BodyText"/>
        <w:spacing w:before="4"/>
      </w:pPr>
    </w:p>
    <w:p w14:paraId="0854C81C" w14:textId="77777777" w:rsidR="002A14F8" w:rsidRDefault="003458B8">
      <w:pPr>
        <w:pStyle w:val="BodyText"/>
        <w:spacing w:before="1" w:line="259" w:lineRule="auto"/>
        <w:ind w:left="540" w:right="498"/>
      </w:pPr>
      <w:r>
        <w:t>Intersex people have often been connected with the rainbow community, but there are many intersex</w:t>
      </w:r>
      <w:r>
        <w:rPr>
          <w:spacing w:val="1"/>
        </w:rPr>
        <w:t xml:space="preserve"> </w:t>
      </w:r>
      <w:r>
        <w:t>people who are males or females and do not see themselves as part of the rainbow community. They</w:t>
      </w:r>
      <w:r>
        <w:rPr>
          <w:spacing w:val="1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people</w:t>
      </w:r>
      <w:r>
        <w:rPr>
          <w:spacing w:val="4"/>
        </w:rPr>
        <w:t xml:space="preserve"> </w:t>
      </w:r>
      <w:r>
        <w:t>who</w:t>
      </w:r>
      <w:r>
        <w:rPr>
          <w:spacing w:val="4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t>born</w:t>
      </w:r>
      <w:r>
        <w:rPr>
          <w:spacing w:val="4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physical</w:t>
      </w:r>
      <w:r>
        <w:rPr>
          <w:spacing w:val="3"/>
        </w:rPr>
        <w:t xml:space="preserve"> </w:t>
      </w:r>
      <w:r>
        <w:t>sex</w:t>
      </w:r>
      <w:r>
        <w:rPr>
          <w:spacing w:val="4"/>
        </w:rPr>
        <w:t xml:space="preserve"> </w:t>
      </w:r>
      <w:r>
        <w:t>variations</w:t>
      </w:r>
      <w:r>
        <w:rPr>
          <w:spacing w:val="4"/>
        </w:rPr>
        <w:t xml:space="preserve"> </w:t>
      </w:r>
      <w:r>
        <w:t>(such</w:t>
      </w:r>
      <w:r>
        <w:rPr>
          <w:spacing w:val="4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chromosomes,</w:t>
      </w:r>
      <w:r>
        <w:rPr>
          <w:spacing w:val="4"/>
        </w:rPr>
        <w:t xml:space="preserve"> </w:t>
      </w:r>
      <w:r>
        <w:t>gonads</w:t>
      </w:r>
      <w:r>
        <w:rPr>
          <w:spacing w:val="4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hormones)</w:t>
      </w:r>
      <w:r>
        <w:rPr>
          <w:spacing w:val="1"/>
        </w:rPr>
        <w:t xml:space="preserve"> </w:t>
      </w:r>
      <w:r>
        <w:t>that don’t fit medical and social norms for female or male bodie</w:t>
      </w:r>
      <w:r>
        <w:t>s’</w:t>
      </w:r>
      <w:r>
        <w:rPr>
          <w:vertAlign w:val="superscript"/>
        </w:rPr>
        <w:t>31</w:t>
      </w:r>
      <w:r>
        <w:t>. They represent sex diversity as</w:t>
      </w:r>
      <w:r>
        <w:rPr>
          <w:spacing w:val="1"/>
        </w:rPr>
        <w:t xml:space="preserve"> </w:t>
      </w:r>
      <w:r>
        <w:t>men, women, non-binary people (people who live beyond gender), have transgender and cis-gender</w:t>
      </w:r>
      <w:r>
        <w:rPr>
          <w:spacing w:val="1"/>
        </w:rPr>
        <w:t xml:space="preserve"> </w:t>
      </w:r>
      <w:r>
        <w:t>experiences, and various sexual orientations (including heterosexual).</w:t>
      </w:r>
      <w:r>
        <w:rPr>
          <w:vertAlign w:val="superscript"/>
        </w:rPr>
        <w:t>31</w:t>
      </w:r>
      <w:r>
        <w:t xml:space="preserve"> Due to their bodies not</w:t>
      </w:r>
      <w:r>
        <w:rPr>
          <w:spacing w:val="1"/>
        </w:rPr>
        <w:t xml:space="preserve"> </w:t>
      </w:r>
      <w:r>
        <w:t xml:space="preserve">matching the norm of male </w:t>
      </w:r>
      <w:r>
        <w:t>or female, they still face legal and medical challengess, including</w:t>
      </w:r>
      <w:r>
        <w:rPr>
          <w:spacing w:val="1"/>
        </w:rPr>
        <w:t xml:space="preserve"> </w:t>
      </w:r>
      <w:r>
        <w:t>unwanted and unnecessary medical treatment performed to physically match their body to their</w:t>
      </w:r>
      <w:r>
        <w:rPr>
          <w:spacing w:val="1"/>
        </w:rPr>
        <w:t xml:space="preserve"> </w:t>
      </w:r>
      <w:r>
        <w:t>assigned sex.</w:t>
      </w:r>
      <w:r>
        <w:rPr>
          <w:vertAlign w:val="superscript"/>
        </w:rPr>
        <w:t>32</w:t>
      </w:r>
      <w:r>
        <w:t xml:space="preserve"> As there was a realisation that biology is no longer a binary system of sex, ge</w:t>
      </w:r>
      <w:r>
        <w:t>nder was</w:t>
      </w:r>
      <w:r>
        <w:rPr>
          <w:spacing w:val="1"/>
        </w:rPr>
        <w:t xml:space="preserve"> </w:t>
      </w:r>
      <w:r>
        <w:t>created by John Money to habilitate intersex people into malehood and femalehood to maintain social</w:t>
      </w:r>
      <w:r>
        <w:rPr>
          <w:spacing w:val="1"/>
        </w:rPr>
        <w:t xml:space="preserve"> </w:t>
      </w:r>
      <w:r>
        <w:t>order. Thus, after physical normalisation surgery and treatment, they were socialised into their</w:t>
      </w:r>
      <w:r>
        <w:rPr>
          <w:spacing w:val="1"/>
        </w:rPr>
        <w:t xml:space="preserve"> </w:t>
      </w:r>
      <w:r>
        <w:t>‘gender’ – the ideals of male or female. Sex was s</w:t>
      </w:r>
      <w:r>
        <w:t>een as ‘virtually superfluous’ and beyond critique.</w:t>
      </w:r>
      <w:r>
        <w:rPr>
          <w:spacing w:val="1"/>
        </w:rPr>
        <w:t xml:space="preserve"> </w:t>
      </w:r>
      <w:r>
        <w:t>Gender became the structure to enable the male-female heteronormativity. The result of gender is the</w:t>
      </w:r>
      <w:r>
        <w:rPr>
          <w:spacing w:val="1"/>
        </w:rPr>
        <w:t xml:space="preserve"> </w:t>
      </w:r>
      <w:r>
        <w:t>continued making of intersex people and their sex diversity invisible in society</w:t>
      </w:r>
      <w:r>
        <w:rPr>
          <w:vertAlign w:val="superscript"/>
        </w:rPr>
        <w:t>33</w:t>
      </w:r>
      <w:r>
        <w:t>. The enforcement of</w:t>
      </w:r>
      <w:r>
        <w:rPr>
          <w:spacing w:val="1"/>
        </w:rPr>
        <w:t xml:space="preserve"> </w:t>
      </w:r>
      <w:r>
        <w:t>gender on society has a physical, psychological and spiritual impact on their lived experience.</w:t>
      </w:r>
      <w:r>
        <w:rPr>
          <w:vertAlign w:val="superscript"/>
        </w:rPr>
        <w:t>32</w:t>
      </w:r>
      <w:r>
        <w:t xml:space="preserve"> They</w:t>
      </w:r>
      <w:r>
        <w:rPr>
          <w:spacing w:val="1"/>
        </w:rPr>
        <w:t xml:space="preserve"> </w:t>
      </w:r>
      <w:r>
        <w:t>suffer in multiple ways: firstly through the enforced medical treatment to the ‘gender assignment’, and</w:t>
      </w:r>
      <w:r>
        <w:rPr>
          <w:spacing w:val="-52"/>
        </w:rPr>
        <w:t xml:space="preserve"> </w:t>
      </w:r>
      <w:r>
        <w:t>secondly,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gendered</w:t>
      </w:r>
      <w:r>
        <w:rPr>
          <w:spacing w:val="-1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disregards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biological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psycho-social</w:t>
      </w:r>
      <w:r>
        <w:rPr>
          <w:spacing w:val="-3"/>
        </w:rPr>
        <w:t xml:space="preserve"> </w:t>
      </w:r>
      <w:r>
        <w:t>interconnection of</w:t>
      </w:r>
    </w:p>
    <w:p w14:paraId="378DA002" w14:textId="77777777" w:rsidR="002A14F8" w:rsidRDefault="002A14F8">
      <w:pPr>
        <w:spacing w:line="259" w:lineRule="auto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4F402B4B" w14:textId="77777777" w:rsidR="002A14F8" w:rsidRDefault="003458B8">
      <w:pPr>
        <w:pStyle w:val="BodyText"/>
        <w:spacing w:before="78" w:line="256" w:lineRule="auto"/>
        <w:ind w:left="540" w:right="1182"/>
      </w:pPr>
      <w:r>
        <w:lastRenderedPageBreak/>
        <w:t>becoming for intersex people. Both of these continue the invisibility of intersex people and the</w:t>
      </w:r>
      <w:r>
        <w:rPr>
          <w:spacing w:val="-52"/>
        </w:rPr>
        <w:t xml:space="preserve"> </w:t>
      </w:r>
      <w:r>
        <w:t>continued</w:t>
      </w:r>
      <w:r>
        <w:rPr>
          <w:spacing w:val="-3"/>
        </w:rPr>
        <w:t xml:space="preserve"> </w:t>
      </w:r>
      <w:r>
        <w:t>discrimination against</w:t>
      </w:r>
      <w:r>
        <w:rPr>
          <w:spacing w:val="1"/>
        </w:rPr>
        <w:t xml:space="preserve"> </w:t>
      </w:r>
      <w:r>
        <w:t>them.</w:t>
      </w:r>
    </w:p>
    <w:p w14:paraId="6BC9A96B" w14:textId="77777777" w:rsidR="002A14F8" w:rsidRDefault="002A14F8">
      <w:pPr>
        <w:pStyle w:val="BodyText"/>
        <w:rPr>
          <w:sz w:val="24"/>
        </w:rPr>
      </w:pPr>
    </w:p>
    <w:p w14:paraId="32757185" w14:textId="77777777" w:rsidR="002A14F8" w:rsidRDefault="002A14F8">
      <w:pPr>
        <w:pStyle w:val="BodyText"/>
        <w:rPr>
          <w:sz w:val="35"/>
        </w:rPr>
      </w:pPr>
    </w:p>
    <w:p w14:paraId="5E90DAB3" w14:textId="77777777" w:rsidR="002A14F8" w:rsidRDefault="003458B8">
      <w:pPr>
        <w:pStyle w:val="Heading1"/>
        <w:spacing w:before="1"/>
      </w:pPr>
      <w:bookmarkStart w:id="2" w:name="_bookmark2"/>
      <w:bookmarkEnd w:id="2"/>
      <w:r>
        <w:t>Youth</w:t>
      </w:r>
    </w:p>
    <w:p w14:paraId="7622E7A1" w14:textId="77777777" w:rsidR="002A14F8" w:rsidRDefault="003458B8">
      <w:pPr>
        <w:pStyle w:val="BodyText"/>
        <w:spacing w:before="31" w:line="259" w:lineRule="auto"/>
        <w:ind w:left="540" w:right="523"/>
      </w:pPr>
      <w:r>
        <w:t>Youth are for the purposes of this review aged 12 to 24 years as use by government agencies when</w:t>
      </w:r>
      <w:r>
        <w:rPr>
          <w:spacing w:val="1"/>
        </w:rPr>
        <w:t xml:space="preserve"> </w:t>
      </w:r>
      <w:r>
        <w:t>carrying out yo</w:t>
      </w:r>
      <w:r>
        <w:t>uth research and advocacy works</w:t>
      </w:r>
      <w:r>
        <w:rPr>
          <w:vertAlign w:val="superscript"/>
        </w:rPr>
        <w:t>34</w:t>
      </w:r>
      <w:r>
        <w:t>. Youth deserve special attention in Aotearoa New</w:t>
      </w:r>
      <w:r>
        <w:rPr>
          <w:spacing w:val="1"/>
        </w:rPr>
        <w:t xml:space="preserve"> </w:t>
      </w:r>
      <w:r>
        <w:t>Zealand, not only because they constitute the most valuable human resource that forms the foundation</w:t>
      </w:r>
      <w:r>
        <w:rPr>
          <w:spacing w:val="-52"/>
        </w:rPr>
        <w:t xml:space="preserve"> </w:t>
      </w:r>
      <w:r>
        <w:t>of future nation development, but they also face specific challenges dur</w:t>
      </w:r>
      <w:r>
        <w:t>ing the transition from</w:t>
      </w:r>
      <w:r>
        <w:rPr>
          <w:spacing w:val="1"/>
        </w:rPr>
        <w:t xml:space="preserve"> </w:t>
      </w:r>
      <w:r>
        <w:t>adolescence to adulthood that increase their potential for poor outcomes, risk or danger. A more</w:t>
      </w:r>
      <w:r>
        <w:rPr>
          <w:spacing w:val="1"/>
        </w:rPr>
        <w:t xml:space="preserve"> </w:t>
      </w:r>
      <w:r>
        <w:t>contextualised understanding of youth is needed by placing youth in contexts of time, location, and</w:t>
      </w:r>
      <w:r>
        <w:rPr>
          <w:spacing w:val="1"/>
        </w:rPr>
        <w:t xml:space="preserve"> </w:t>
      </w:r>
      <w:r>
        <w:t>knowledge, and realising that the c</w:t>
      </w:r>
      <w:r>
        <w:t>onstruction of identity and belongingness among this age group is</w:t>
      </w:r>
      <w:r>
        <w:rPr>
          <w:spacing w:val="1"/>
        </w:rPr>
        <w:t xml:space="preserve"> </w:t>
      </w:r>
      <w:r>
        <w:t>highly heterogenous in nature</w:t>
      </w:r>
      <w:r>
        <w:rPr>
          <w:vertAlign w:val="superscript"/>
        </w:rPr>
        <w:t>35</w:t>
      </w:r>
      <w:r>
        <w:t>. One of the most established national representative surveys on youth</w:t>
      </w:r>
      <w:r>
        <w:rPr>
          <w:spacing w:val="1"/>
        </w:rPr>
        <w:t xml:space="preserve"> </w:t>
      </w:r>
      <w:r>
        <w:t>health and wellbeing is the Youth2000 survey series</w:t>
      </w:r>
      <w:r>
        <w:rPr>
          <w:vertAlign w:val="superscript"/>
        </w:rPr>
        <w:t>36</w:t>
      </w:r>
      <w:r>
        <w:t>, which employs a socioecological a</w:t>
      </w:r>
      <w:r>
        <w:t>pproach to</w:t>
      </w:r>
      <w:r>
        <w:rPr>
          <w:spacing w:val="1"/>
        </w:rPr>
        <w:t xml:space="preserve"> </w:t>
      </w:r>
      <w:r>
        <w:t>identify the risks and protective factors that influence youth’s health and wellbeing in Aotearoa New</w:t>
      </w:r>
      <w:r>
        <w:rPr>
          <w:spacing w:val="1"/>
        </w:rPr>
        <w:t xml:space="preserve"> </w:t>
      </w:r>
      <w:r>
        <w:t>Zealand. The Youth2000 series has been surveying young people from 2001 to date, and will be</w:t>
      </w:r>
      <w:r>
        <w:rPr>
          <w:spacing w:val="1"/>
        </w:rPr>
        <w:t xml:space="preserve"> </w:t>
      </w:r>
      <w:r>
        <w:t>releasing</w:t>
      </w:r>
      <w:r>
        <w:rPr>
          <w:spacing w:val="-4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findings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2019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 end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202</w:t>
      </w:r>
      <w:r>
        <w:t>0</w:t>
      </w:r>
      <w:r>
        <w:rPr>
          <w:vertAlign w:val="superscript"/>
        </w:rPr>
        <w:t>36</w:t>
      </w:r>
      <w:r>
        <w:t>, which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paper will</w:t>
      </w:r>
      <w:r>
        <w:rPr>
          <w:spacing w:val="1"/>
        </w:rPr>
        <w:t xml:space="preserve"> </w:t>
      </w:r>
      <w:r>
        <w:t>not be</w:t>
      </w:r>
      <w:r>
        <w:rPr>
          <w:spacing w:val="-3"/>
        </w:rPr>
        <w:t xml:space="preserve"> </w:t>
      </w:r>
      <w:r>
        <w:t>able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review</w:t>
      </w:r>
      <w:r>
        <w:rPr>
          <w:spacing w:val="-1"/>
        </w:rPr>
        <w:t xml:space="preserve"> </w:t>
      </w:r>
      <w:r>
        <w:t>on.</w:t>
      </w:r>
    </w:p>
    <w:p w14:paraId="341D0D31" w14:textId="77777777" w:rsidR="002A14F8" w:rsidRDefault="003458B8">
      <w:pPr>
        <w:pStyle w:val="BodyText"/>
        <w:spacing w:before="156"/>
        <w:ind w:left="540" w:right="566"/>
      </w:pPr>
      <w:r>
        <w:t xml:space="preserve">In their report on </w:t>
      </w:r>
      <w:r>
        <w:rPr>
          <w:i/>
        </w:rPr>
        <w:t>What Makes a Good Life?</w:t>
      </w:r>
      <w:r>
        <w:t>, the Office of the Children’s Commissioner</w:t>
      </w:r>
      <w:r>
        <w:rPr>
          <w:vertAlign w:val="superscript"/>
        </w:rPr>
        <w:t>28,37</w:t>
      </w:r>
      <w:r>
        <w:t xml:space="preserve"> identified</w:t>
      </w:r>
      <w:r>
        <w:rPr>
          <w:spacing w:val="-52"/>
        </w:rPr>
        <w:t xml:space="preserve"> </w:t>
      </w:r>
      <w:r>
        <w:t>a range of key themes: being happy and enjoying life; having hopes and aspirations for the future;</w:t>
      </w:r>
      <w:r>
        <w:rPr>
          <w:spacing w:val="1"/>
        </w:rPr>
        <w:t xml:space="preserve"> </w:t>
      </w:r>
      <w:r>
        <w:t>having supportive family; whānau; and friends; being able to access essential needs such as a place to</w:t>
      </w:r>
      <w:r>
        <w:rPr>
          <w:spacing w:val="-52"/>
        </w:rPr>
        <w:t xml:space="preserve"> </w:t>
      </w:r>
      <w:r>
        <w:t xml:space="preserve">live and adequate food; having promising physical and </w:t>
      </w:r>
      <w:r>
        <w:t>mental health; feeling safe; having positive</w:t>
      </w:r>
      <w:r>
        <w:rPr>
          <w:spacing w:val="1"/>
        </w:rPr>
        <w:t xml:space="preserve"> </w:t>
      </w:r>
      <w:r>
        <w:t>school education where they feel belong; and feeling valued and respected. This also corresponded</w:t>
      </w:r>
      <w:r>
        <w:rPr>
          <w:spacing w:val="1"/>
        </w:rPr>
        <w:t xml:space="preserve"> </w:t>
      </w:r>
      <w:r>
        <w:t>with a sense of neighbourhoods and community. There was a correlation with the wellbeing of</w:t>
      </w:r>
      <w:r>
        <w:rPr>
          <w:spacing w:val="1"/>
        </w:rPr>
        <w:t xml:space="preserve"> </w:t>
      </w:r>
      <w:r>
        <w:t>youth</w:t>
      </w:r>
      <w:r>
        <w:rPr>
          <w:vertAlign w:val="superscript"/>
        </w:rPr>
        <w:t>38</w:t>
      </w:r>
      <w:r>
        <w:t>, especially f</w:t>
      </w:r>
      <w:r>
        <w:t>or those of rural regions</w:t>
      </w:r>
      <w:r>
        <w:rPr>
          <w:vertAlign w:val="superscript"/>
        </w:rPr>
        <w:t>39</w:t>
      </w:r>
      <w:r>
        <w:t>. Frequent contact with neighbours, as well as</w:t>
      </w:r>
      <w:r>
        <w:rPr>
          <w:spacing w:val="1"/>
        </w:rPr>
        <w:t xml:space="preserve"> </w:t>
      </w:r>
      <w:r>
        <w:t>community-level activities and support for young people through existing institutions such as</w:t>
      </w:r>
      <w:r>
        <w:rPr>
          <w:spacing w:val="1"/>
        </w:rPr>
        <w:t xml:space="preserve"> </w:t>
      </w:r>
      <w:r>
        <w:t>churches, sports clubs, and community groups serve as essential community assets for you</w:t>
      </w:r>
      <w:r>
        <w:t>ng</w:t>
      </w:r>
      <w:r>
        <w:rPr>
          <w:spacing w:val="1"/>
        </w:rPr>
        <w:t xml:space="preserve"> </w:t>
      </w:r>
      <w:r>
        <w:t>people</w:t>
      </w:r>
      <w:r>
        <w:rPr>
          <w:vertAlign w:val="superscript"/>
        </w:rPr>
        <w:t>38–41</w:t>
      </w:r>
      <w:r>
        <w:t>. Having an established community relationship also encouraged young people to seek</w:t>
      </w:r>
      <w:r>
        <w:rPr>
          <w:spacing w:val="1"/>
        </w:rPr>
        <w:t xml:space="preserve"> </w:t>
      </w:r>
      <w:r>
        <w:t>support and help in times of need</w:t>
      </w:r>
      <w:r>
        <w:rPr>
          <w:vertAlign w:val="superscript"/>
        </w:rPr>
        <w:t>42</w:t>
      </w:r>
      <w:r>
        <w:t>. However, youth face significant challenges in many different</w:t>
      </w:r>
      <w:r>
        <w:rPr>
          <w:spacing w:val="1"/>
        </w:rPr>
        <w:t xml:space="preserve"> </w:t>
      </w:r>
      <w:r>
        <w:t>areas.</w:t>
      </w:r>
    </w:p>
    <w:p w14:paraId="598FD476" w14:textId="77777777" w:rsidR="002A14F8" w:rsidRDefault="002A14F8">
      <w:pPr>
        <w:pStyle w:val="BodyText"/>
      </w:pPr>
    </w:p>
    <w:p w14:paraId="7DD68D87" w14:textId="77777777" w:rsidR="002A14F8" w:rsidRDefault="003458B8">
      <w:pPr>
        <w:pStyle w:val="BodyText"/>
        <w:ind w:left="540" w:right="540"/>
      </w:pPr>
      <w:r>
        <w:t>Conversations</w:t>
      </w:r>
      <w:r>
        <w:rPr>
          <w:spacing w:val="-1"/>
        </w:rPr>
        <w:t xml:space="preserve"> </w:t>
      </w:r>
      <w:r>
        <w:t>about</w:t>
      </w:r>
      <w:r>
        <w:rPr>
          <w:spacing w:val="3"/>
        </w:rPr>
        <w:t xml:space="preserve"> </w:t>
      </w:r>
      <w:r>
        <w:t>suicide</w:t>
      </w:r>
      <w:r>
        <w:rPr>
          <w:spacing w:val="1"/>
        </w:rPr>
        <w:t xml:space="preserve"> </w:t>
      </w:r>
      <w:r>
        <w:t>among</w:t>
      </w:r>
      <w:r>
        <w:rPr>
          <w:spacing w:val="1"/>
        </w:rPr>
        <w:t xml:space="preserve"> </w:t>
      </w:r>
      <w:r>
        <w:t>youth</w:t>
      </w:r>
      <w:r>
        <w:rPr>
          <w:spacing w:val="1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n</w:t>
      </w:r>
      <w:r>
        <w:t>ormalised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developing</w:t>
      </w:r>
      <w:r>
        <w:rPr>
          <w:spacing w:val="-1"/>
        </w:rPr>
        <w:t xml:space="preserve"> </w:t>
      </w:r>
      <w:r>
        <w:t>strategies</w:t>
      </w:r>
      <w:r>
        <w:rPr>
          <w:spacing w:val="-1"/>
        </w:rPr>
        <w:t xml:space="preserve"> </w:t>
      </w:r>
      <w:r>
        <w:t>that speak</w:t>
      </w:r>
      <w:r>
        <w:rPr>
          <w:spacing w:val="1"/>
        </w:rPr>
        <w:t xml:space="preserve"> </w:t>
      </w:r>
      <w:r>
        <w:t>to the ways that young people themselves understand suicide</w:t>
      </w:r>
      <w:r>
        <w:rPr>
          <w:vertAlign w:val="superscript"/>
        </w:rPr>
        <w:t>43,44</w:t>
      </w:r>
      <w:r>
        <w:t>. This includes recognising the</w:t>
      </w:r>
      <w:r>
        <w:rPr>
          <w:spacing w:val="1"/>
        </w:rPr>
        <w:t xml:space="preserve"> </w:t>
      </w:r>
      <w:r>
        <w:t>contagion effects of suicide behaviours within peer groups and family/whānau networks as additional</w:t>
      </w:r>
      <w:r>
        <w:rPr>
          <w:spacing w:val="1"/>
        </w:rPr>
        <w:t xml:space="preserve"> </w:t>
      </w:r>
      <w:r>
        <w:t>risk factors f</w:t>
      </w:r>
      <w:r>
        <w:t>or youth, acknowledging the ubiquitous nature of the pressures that youth are dealing</w:t>
      </w:r>
      <w:r>
        <w:rPr>
          <w:spacing w:val="1"/>
        </w:rPr>
        <w:t xml:space="preserve"> </w:t>
      </w:r>
      <w:r>
        <w:t>with, facilitating youth’s ability to extract themselves from diﬃcult situations in which they</w:t>
      </w:r>
      <w:r>
        <w:rPr>
          <w:spacing w:val="1"/>
        </w:rPr>
        <w:t xml:space="preserve"> </w:t>
      </w:r>
      <w:r>
        <w:t>experience little power, and recognising the expression of suicidality as a</w:t>
      </w:r>
      <w:r>
        <w:t xml:space="preserve"> form of help-seeking and</w:t>
      </w:r>
      <w:r>
        <w:rPr>
          <w:spacing w:val="1"/>
        </w:rPr>
        <w:t xml:space="preserve"> </w:t>
      </w:r>
      <w:r>
        <w:t>educate family/whānau to respond to this accordingly</w:t>
      </w:r>
      <w:r>
        <w:rPr>
          <w:vertAlign w:val="superscript"/>
        </w:rPr>
        <w:t>43,45</w:t>
      </w:r>
      <w:r>
        <w:t>. In this way, young people are less likely to</w:t>
      </w:r>
      <w:r>
        <w:rPr>
          <w:spacing w:val="1"/>
        </w:rPr>
        <w:t xml:space="preserve"> </w:t>
      </w:r>
      <w:r>
        <w:t>see their suicidal feelings as a source of shame and more likely to seek help</w:t>
      </w:r>
      <w:r>
        <w:rPr>
          <w:vertAlign w:val="superscript"/>
        </w:rPr>
        <w:t>43</w:t>
      </w:r>
      <w:r>
        <w:t>. Suicide education</w:t>
      </w:r>
      <w:r>
        <w:rPr>
          <w:spacing w:val="1"/>
        </w:rPr>
        <w:t xml:space="preserve"> </w:t>
      </w:r>
      <w:r>
        <w:t>programmes should also be s</w:t>
      </w:r>
      <w:r>
        <w:t>upplemented by professionals mental health support for young people</w:t>
      </w:r>
      <w:r>
        <w:rPr>
          <w:spacing w:val="1"/>
        </w:rPr>
        <w:t xml:space="preserve"> </w:t>
      </w:r>
      <w:r>
        <w:t>that does not pathologise and stigmatise suicidality, but instead facilitates young people’s engagement</w:t>
      </w:r>
      <w:r>
        <w:rPr>
          <w:spacing w:val="-5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support.</w:t>
      </w:r>
    </w:p>
    <w:p w14:paraId="2B006C01" w14:textId="77777777" w:rsidR="002A14F8" w:rsidRDefault="002A14F8">
      <w:pPr>
        <w:pStyle w:val="BodyText"/>
      </w:pPr>
    </w:p>
    <w:p w14:paraId="4A3C34DC" w14:textId="77777777" w:rsidR="002A14F8" w:rsidRDefault="003458B8">
      <w:pPr>
        <w:pStyle w:val="BodyText"/>
        <w:ind w:left="540" w:right="498"/>
      </w:pPr>
      <w:r>
        <w:t>Vulnerable youth are those who have been exposed to adverse negative childhood experiences or are</w:t>
      </w:r>
      <w:r>
        <w:rPr>
          <w:spacing w:val="1"/>
        </w:rPr>
        <w:t xml:space="preserve"> </w:t>
      </w:r>
      <w:r>
        <w:t>facing significant life challenges. Vulnerable youth have considerably more challenges coming into</w:t>
      </w:r>
      <w:r>
        <w:rPr>
          <w:spacing w:val="1"/>
        </w:rPr>
        <w:t xml:space="preserve"> </w:t>
      </w:r>
      <w:r>
        <w:t>adolescence than their counterparts. Programmes targeting a</w:t>
      </w:r>
      <w:r>
        <w:t>t risk youth need to pay specific attention</w:t>
      </w:r>
      <w:r>
        <w:rPr>
          <w:spacing w:val="-52"/>
        </w:rPr>
        <w:t xml:space="preserve"> </w:t>
      </w:r>
      <w:r>
        <w:t>to components that address risks arising from mental health issues and also take a more ecological</w:t>
      </w:r>
      <w:r>
        <w:rPr>
          <w:spacing w:val="1"/>
        </w:rPr>
        <w:t xml:space="preserve"> </w:t>
      </w:r>
      <w:r>
        <w:t>approach, with partnerships between groups and agencies such as education and mental health</w:t>
      </w:r>
      <w:r>
        <w:rPr>
          <w:spacing w:val="1"/>
        </w:rPr>
        <w:t xml:space="preserve"> </w:t>
      </w:r>
      <w:r>
        <w:t>services</w:t>
      </w:r>
      <w:r>
        <w:rPr>
          <w:vertAlign w:val="superscript"/>
        </w:rPr>
        <w:t>46–48</w:t>
      </w:r>
      <w:r>
        <w:t xml:space="preserve">. There </w:t>
      </w:r>
      <w:r>
        <w:t>are also important implications for community based interventions in terms of</w:t>
      </w:r>
      <w:r>
        <w:rPr>
          <w:spacing w:val="1"/>
        </w:rPr>
        <w:t xml:space="preserve"> </w:t>
      </w:r>
      <w:r>
        <w:t>activating community resources to facilitate the participation of vulnerable youth in resilience-</w:t>
      </w:r>
      <w:r>
        <w:rPr>
          <w:spacing w:val="1"/>
        </w:rPr>
        <w:t xml:space="preserve"> </w:t>
      </w:r>
      <w:r>
        <w:t>building youth activities so that these organisations are confident they can wel</w:t>
      </w:r>
      <w:r>
        <w:t>come such youth into</w:t>
      </w:r>
      <w:r>
        <w:rPr>
          <w:spacing w:val="1"/>
        </w:rPr>
        <w:t xml:space="preserve"> </w:t>
      </w:r>
      <w:r>
        <w:t>their programmes</w:t>
      </w:r>
      <w:r>
        <w:rPr>
          <w:vertAlign w:val="superscript"/>
        </w:rPr>
        <w:t>49</w:t>
      </w:r>
      <w:r>
        <w:t>. There is a need for funding and policy development that facilitates collaborative</w:t>
      </w:r>
      <w:r>
        <w:rPr>
          <w:spacing w:val="1"/>
        </w:rPr>
        <w:t xml:space="preserve"> </w:t>
      </w:r>
      <w:r>
        <w:t>efforts</w:t>
      </w:r>
      <w:r>
        <w:rPr>
          <w:spacing w:val="-2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schools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contextual</w:t>
      </w:r>
      <w:r>
        <w:rPr>
          <w:spacing w:val="-3"/>
        </w:rPr>
        <w:t xml:space="preserve"> </w:t>
      </w:r>
      <w:r>
        <w:t>risks</w:t>
      </w:r>
      <w:r>
        <w:rPr>
          <w:spacing w:val="-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addressed</w:t>
      </w:r>
      <w:r>
        <w:rPr>
          <w:spacing w:val="-1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</w:p>
    <w:p w14:paraId="02C4B53E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4F69AC6B" w14:textId="77777777" w:rsidR="002A14F8" w:rsidRDefault="003458B8">
      <w:pPr>
        <w:pStyle w:val="BodyText"/>
        <w:spacing w:before="75"/>
        <w:ind w:left="540" w:right="498"/>
      </w:pPr>
      <w:r>
        <w:lastRenderedPageBreak/>
        <w:t>time making</w:t>
      </w:r>
      <w:r>
        <w:t xml:space="preserve"> it possible for youth engaged in risky behaviours to participate fully in normative</w:t>
      </w:r>
      <w:r>
        <w:rPr>
          <w:spacing w:val="1"/>
        </w:rPr>
        <w:t xml:space="preserve"> </w:t>
      </w:r>
      <w:r>
        <w:t>curricular and extra-curricular activities with pro-social peers</w:t>
      </w:r>
      <w:r>
        <w:rPr>
          <w:vertAlign w:val="superscript"/>
        </w:rPr>
        <w:t>49</w:t>
      </w:r>
      <w:r>
        <w:t>. Youth in the justice system require</w:t>
      </w:r>
      <w:r>
        <w:rPr>
          <w:spacing w:val="1"/>
        </w:rPr>
        <w:t xml:space="preserve"> </w:t>
      </w:r>
      <w:r>
        <w:t>encouragement and professional support to engage in the youth justi</w:t>
      </w:r>
      <w:r>
        <w:t>ce process. The youth justice</w:t>
      </w:r>
      <w:r>
        <w:rPr>
          <w:spacing w:val="1"/>
        </w:rPr>
        <w:t xml:space="preserve"> </w:t>
      </w:r>
      <w:r>
        <w:t>system needs to consider how to effectively provide consistent communication with young people that</w:t>
      </w:r>
      <w:r>
        <w:rPr>
          <w:spacing w:val="-52"/>
        </w:rPr>
        <w:t xml:space="preserve"> </w:t>
      </w:r>
      <w:r>
        <w:t>ensures they understand the process, while engaging family/whānau in remand decision making and</w:t>
      </w:r>
      <w:r>
        <w:rPr>
          <w:spacing w:val="1"/>
        </w:rPr>
        <w:t xml:space="preserve"> </w:t>
      </w:r>
      <w:r>
        <w:t>advocacy. This requires having</w:t>
      </w:r>
      <w:r>
        <w:t xml:space="preserve"> professionals who are trained and skilled in working with young</w:t>
      </w:r>
      <w:r>
        <w:rPr>
          <w:spacing w:val="1"/>
        </w:rPr>
        <w:t xml:space="preserve"> </w:t>
      </w:r>
      <w:r>
        <w:t>people in the justice system, and with whom young people are able to build rapport and trust through</w:t>
      </w:r>
      <w:r>
        <w:rPr>
          <w:spacing w:val="1"/>
        </w:rPr>
        <w:t xml:space="preserve"> </w:t>
      </w:r>
      <w:r>
        <w:t>proactive</w:t>
      </w:r>
      <w:r>
        <w:rPr>
          <w:spacing w:val="-1"/>
        </w:rPr>
        <w:t xml:space="preserve"> </w:t>
      </w:r>
      <w:r>
        <w:t>support</w:t>
      </w:r>
      <w:r>
        <w:rPr>
          <w:vertAlign w:val="superscript"/>
        </w:rPr>
        <w:t>50</w:t>
      </w:r>
      <w:r>
        <w:t>.</w:t>
      </w:r>
    </w:p>
    <w:p w14:paraId="240854C0" w14:textId="77777777" w:rsidR="002A14F8" w:rsidRDefault="002A14F8">
      <w:pPr>
        <w:pStyle w:val="BodyText"/>
        <w:spacing w:before="1"/>
      </w:pPr>
    </w:p>
    <w:p w14:paraId="6EA805FD" w14:textId="77777777" w:rsidR="002A14F8" w:rsidRDefault="003458B8">
      <w:pPr>
        <w:pStyle w:val="BodyText"/>
        <w:ind w:left="540" w:right="497"/>
      </w:pPr>
      <w:r>
        <w:t>Schools are described as the “bread and butter of youth developments”</w:t>
      </w:r>
      <w:r>
        <w:rPr>
          <w:vertAlign w:val="superscript"/>
        </w:rPr>
        <w:t>51</w:t>
      </w:r>
      <w:r>
        <w:t xml:space="preserve"> wherein young people should</w:t>
      </w:r>
      <w:r>
        <w:rPr>
          <w:spacing w:val="-52"/>
        </w:rPr>
        <w:t xml:space="preserve"> </w:t>
      </w:r>
      <w:r>
        <w:t>feel</w:t>
      </w:r>
      <w:r>
        <w:rPr>
          <w:spacing w:val="1"/>
        </w:rPr>
        <w:t xml:space="preserve"> </w:t>
      </w:r>
      <w:r>
        <w:t>like</w:t>
      </w:r>
      <w:r>
        <w:rPr>
          <w:spacing w:val="1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belong</w:t>
      </w:r>
      <w:r>
        <w:rPr>
          <w:spacing w:val="-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affirmed in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identities,</w:t>
      </w:r>
      <w:r>
        <w:rPr>
          <w:spacing w:val="1"/>
        </w:rPr>
        <w:t xml:space="preserve"> </w:t>
      </w:r>
      <w:r>
        <w:t>as this</w:t>
      </w:r>
      <w:r>
        <w:rPr>
          <w:spacing w:val="-1"/>
        </w:rPr>
        <w:t xml:space="preserve"> </w:t>
      </w:r>
      <w:r>
        <w:t>allows</w:t>
      </w:r>
      <w:r>
        <w:rPr>
          <w:spacing w:val="-1"/>
        </w:rPr>
        <w:t xml:space="preserve"> </w:t>
      </w:r>
      <w:r>
        <w:t>a safe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deeper</w:t>
      </w:r>
      <w:r>
        <w:rPr>
          <w:spacing w:val="1"/>
        </w:rPr>
        <w:t xml:space="preserve"> </w:t>
      </w:r>
      <w:r>
        <w:t>exploration</w:t>
      </w:r>
      <w:r>
        <w:rPr>
          <w:spacing w:val="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competency</w:t>
      </w:r>
      <w:r>
        <w:rPr>
          <w:spacing w:val="4"/>
        </w:rPr>
        <w:t xml:space="preserve"> </w:t>
      </w:r>
      <w:r>
        <w:t>building</w:t>
      </w:r>
      <w:r>
        <w:rPr>
          <w:vertAlign w:val="superscript"/>
        </w:rPr>
        <w:t>42,51,52</w:t>
      </w:r>
      <w:r>
        <w:t>.</w:t>
      </w:r>
      <w:r>
        <w:rPr>
          <w:spacing w:val="4"/>
        </w:rPr>
        <w:t xml:space="preserve"> </w:t>
      </w:r>
      <w:r>
        <w:t>School</w:t>
      </w:r>
      <w:r>
        <w:rPr>
          <w:spacing w:val="6"/>
        </w:rPr>
        <w:t xml:space="preserve"> </w:t>
      </w:r>
      <w:r>
        <w:t>howeve</w:t>
      </w:r>
      <w:r>
        <w:t>r,</w:t>
      </w:r>
      <w:r>
        <w:rPr>
          <w:spacing w:val="5"/>
        </w:rPr>
        <w:t xml:space="preserve"> </w:t>
      </w:r>
      <w:r>
        <w:t>remains</w:t>
      </w:r>
      <w:r>
        <w:rPr>
          <w:spacing w:val="5"/>
        </w:rPr>
        <w:t xml:space="preserve"> </w:t>
      </w:r>
      <w:r>
        <w:t>an</w:t>
      </w:r>
      <w:r>
        <w:rPr>
          <w:spacing w:val="4"/>
        </w:rPr>
        <w:t xml:space="preserve"> </w:t>
      </w:r>
      <w:r>
        <w:t>active</w:t>
      </w:r>
      <w:r>
        <w:rPr>
          <w:spacing w:val="5"/>
        </w:rPr>
        <w:t xml:space="preserve"> </w:t>
      </w:r>
      <w:r>
        <w:t>site</w:t>
      </w:r>
      <w:r>
        <w:rPr>
          <w:spacing w:val="5"/>
        </w:rPr>
        <w:t xml:space="preserve"> </w:t>
      </w:r>
      <w:r>
        <w:t>where</w:t>
      </w:r>
      <w:r>
        <w:rPr>
          <w:spacing w:val="3"/>
        </w:rPr>
        <w:t xml:space="preserve"> </w:t>
      </w:r>
      <w:r>
        <w:t>youth</w:t>
      </w:r>
      <w:r>
        <w:rPr>
          <w:spacing w:val="1"/>
        </w:rPr>
        <w:t xml:space="preserve"> </w:t>
      </w:r>
      <w:r>
        <w:t>report being bullied, victimised, and socially excluded</w:t>
      </w:r>
      <w:r>
        <w:rPr>
          <w:vertAlign w:val="superscript"/>
        </w:rPr>
        <w:t>47,53,54</w:t>
      </w:r>
      <w:r>
        <w:t>. Youth who reported being bullied at</w:t>
      </w:r>
      <w:r>
        <w:rPr>
          <w:spacing w:val="1"/>
        </w:rPr>
        <w:t xml:space="preserve"> </w:t>
      </w:r>
      <w:r>
        <w:t>school</w:t>
      </w:r>
      <w:r>
        <w:rPr>
          <w:vertAlign w:val="superscript"/>
        </w:rPr>
        <w:t>53</w:t>
      </w:r>
      <w:r>
        <w:t>,</w:t>
      </w:r>
      <w:r>
        <w:rPr>
          <w:spacing w:val="-1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low</w:t>
      </w:r>
      <w:r>
        <w:rPr>
          <w:spacing w:val="-2"/>
        </w:rPr>
        <w:t xml:space="preserve"> </w:t>
      </w:r>
      <w:r>
        <w:t>socioeconomic</w:t>
      </w:r>
      <w:r>
        <w:rPr>
          <w:spacing w:val="-1"/>
        </w:rPr>
        <w:t xml:space="preserve"> </w:t>
      </w:r>
      <w:r>
        <w:t>status</w:t>
      </w:r>
      <w:r>
        <w:rPr>
          <w:vertAlign w:val="superscript"/>
        </w:rPr>
        <w:t>55</w:t>
      </w:r>
      <w:r>
        <w:rPr>
          <w:spacing w:val="-1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likely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engage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non-suicidal self-injury.</w:t>
      </w:r>
    </w:p>
    <w:p w14:paraId="3EFABC9D" w14:textId="77777777" w:rsidR="002A14F8" w:rsidRDefault="003458B8">
      <w:pPr>
        <w:pStyle w:val="BodyText"/>
        <w:ind w:left="540" w:right="529"/>
      </w:pPr>
      <w:r>
        <w:t>Youth from low socioeconomic backgrounds were also more likely to binge drink and exhibit</w:t>
      </w:r>
      <w:r>
        <w:rPr>
          <w:spacing w:val="1"/>
        </w:rPr>
        <w:t xml:space="preserve"> </w:t>
      </w:r>
      <w:r>
        <w:t>hazardous patterns of alcohol misuse</w:t>
      </w:r>
      <w:r>
        <w:rPr>
          <w:vertAlign w:val="superscript"/>
        </w:rPr>
        <w:t>56</w:t>
      </w:r>
      <w:r>
        <w:t>. Before effective learning can occur, youth need to experience</w:t>
      </w:r>
      <w:r>
        <w:rPr>
          <w:spacing w:val="1"/>
        </w:rPr>
        <w:t xml:space="preserve"> </w:t>
      </w:r>
      <w:r>
        <w:t>a sense of acceptance and belonging wi</w:t>
      </w:r>
      <w:r>
        <w:t>thin the classroom</w:t>
      </w:r>
      <w:r>
        <w:rPr>
          <w:vertAlign w:val="superscript"/>
        </w:rPr>
        <w:t>57</w:t>
      </w:r>
      <w:r>
        <w:t>. School belongingness is important in</w:t>
      </w:r>
      <w:r>
        <w:rPr>
          <w:spacing w:val="1"/>
        </w:rPr>
        <w:t xml:space="preserve"> </w:t>
      </w:r>
      <w:r>
        <w:t>regards to mental health, particularly for youth who do not have stable relationships and connections</w:t>
      </w:r>
      <w:r>
        <w:rPr>
          <w:spacing w:val="1"/>
        </w:rPr>
        <w:t xml:space="preserve"> </w:t>
      </w:r>
      <w:r>
        <w:t>at home</w:t>
      </w:r>
      <w:r>
        <w:rPr>
          <w:vertAlign w:val="superscript"/>
        </w:rPr>
        <w:t>53</w:t>
      </w:r>
      <w:r>
        <w:t>. Group initiatives that promote acceptance of gender and sexual diversity (e.g., rain</w:t>
      </w:r>
      <w:r>
        <w:t>bow</w:t>
      </w:r>
      <w:r>
        <w:rPr>
          <w:spacing w:val="1"/>
        </w:rPr>
        <w:t xml:space="preserve"> </w:t>
      </w:r>
      <w:r>
        <w:t>alliance groups), political freedom of speech (e.g., feminism awareness), and cultural expression, are</w:t>
      </w:r>
      <w:r>
        <w:rPr>
          <w:spacing w:val="1"/>
        </w:rPr>
        <w:t xml:space="preserve"> </w:t>
      </w:r>
      <w:r>
        <w:t>likely to foster school connectedness, and assist with sense of belonging, respect, and feeling safe in</w:t>
      </w:r>
      <w:r>
        <w:rPr>
          <w:spacing w:val="1"/>
        </w:rPr>
        <w:t xml:space="preserve"> </w:t>
      </w:r>
      <w:r>
        <w:t>schools</w:t>
      </w:r>
      <w:r>
        <w:rPr>
          <w:vertAlign w:val="superscript"/>
        </w:rPr>
        <w:t>53</w:t>
      </w:r>
      <w:r>
        <w:t>. Contextual education around mental</w:t>
      </w:r>
      <w:r>
        <w:t xml:space="preserve"> health, alcoholic use, self-harm, and suicide need to be</w:t>
      </w:r>
      <w:r>
        <w:rPr>
          <w:spacing w:val="-52"/>
        </w:rPr>
        <w:t xml:space="preserve"> </w:t>
      </w:r>
      <w:r>
        <w:t>provided at school alongside knowledge to regulate emotion, self-care, and detect early warning</w:t>
      </w:r>
      <w:r>
        <w:rPr>
          <w:spacing w:val="1"/>
        </w:rPr>
        <w:t xml:space="preserve"> </w:t>
      </w:r>
      <w:r>
        <w:t>signs</w:t>
      </w:r>
      <w:r>
        <w:rPr>
          <w:vertAlign w:val="superscript"/>
        </w:rPr>
        <w:t>44,53,56,58,59</w:t>
      </w:r>
      <w:r>
        <w:t>. As youth are more likely to utilise their peers as a primary source of support, s</w:t>
      </w:r>
      <w:r>
        <w:t>chool</w:t>
      </w:r>
      <w:r>
        <w:rPr>
          <w:spacing w:val="1"/>
        </w:rPr>
        <w:t xml:space="preserve"> </w:t>
      </w:r>
      <w:r>
        <w:t>play a role in reducing stigma towards mental health problems and educating youth on offering</w:t>
      </w:r>
      <w:r>
        <w:rPr>
          <w:spacing w:val="1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for distressed peers</w:t>
      </w:r>
      <w:r>
        <w:rPr>
          <w:spacing w:val="-2"/>
        </w:rPr>
        <w:t xml:space="preserve"> </w:t>
      </w:r>
      <w:r>
        <w:t>in a</w:t>
      </w:r>
      <w:r>
        <w:rPr>
          <w:spacing w:val="-2"/>
        </w:rPr>
        <w:t xml:space="preserve"> </w:t>
      </w:r>
      <w:r>
        <w:t>safe manner</w:t>
      </w:r>
      <w:r>
        <w:rPr>
          <w:vertAlign w:val="superscript"/>
        </w:rPr>
        <w:t>42</w:t>
      </w:r>
      <w:r>
        <w:t>.</w:t>
      </w:r>
    </w:p>
    <w:p w14:paraId="342296B2" w14:textId="77777777" w:rsidR="002A14F8" w:rsidRDefault="002A14F8">
      <w:pPr>
        <w:pStyle w:val="BodyText"/>
      </w:pPr>
    </w:p>
    <w:p w14:paraId="2DFC0554" w14:textId="77777777" w:rsidR="002A14F8" w:rsidRDefault="003458B8">
      <w:pPr>
        <w:pStyle w:val="BodyText"/>
        <w:ind w:left="540" w:right="542"/>
      </w:pPr>
      <w:r>
        <w:t>It is a concern that a high number of youth reported teachers at school did not step in to address</w:t>
      </w:r>
      <w:r>
        <w:rPr>
          <w:spacing w:val="1"/>
        </w:rPr>
        <w:t xml:space="preserve"> </w:t>
      </w:r>
      <w:r>
        <w:t>bullying. Teachers and school staff are encouraged to identify students whose families are</w:t>
      </w:r>
      <w:r>
        <w:rPr>
          <w:spacing w:val="1"/>
        </w:rPr>
        <w:t xml:space="preserve"> </w:t>
      </w:r>
      <w:r>
        <w:t>experiencing socioeconomic deprivation</w:t>
      </w:r>
      <w:r>
        <w:rPr>
          <w:vertAlign w:val="superscript"/>
        </w:rPr>
        <w:t>55</w:t>
      </w:r>
      <w:r>
        <w:t xml:space="preserve">, have less family/whānau </w:t>
      </w:r>
      <w:r>
        <w:t>connection or are potentially</w:t>
      </w:r>
      <w:r>
        <w:rPr>
          <w:spacing w:val="1"/>
        </w:rPr>
        <w:t xml:space="preserve"> </w:t>
      </w:r>
      <w:r>
        <w:t>estranged from their family/whānau in some way, and whether these students’ connectedness to</w:t>
      </w:r>
      <w:r>
        <w:rPr>
          <w:spacing w:val="1"/>
        </w:rPr>
        <w:t xml:space="preserve"> </w:t>
      </w:r>
      <w:r>
        <w:t>school can be bolstered to potentially improve mental health outcomes</w:t>
      </w:r>
      <w:r>
        <w:rPr>
          <w:vertAlign w:val="superscript"/>
        </w:rPr>
        <w:t>53</w:t>
      </w:r>
      <w:r>
        <w:t>. Teachers need to be mindful</w:t>
      </w:r>
      <w:r>
        <w:rPr>
          <w:spacing w:val="-52"/>
        </w:rPr>
        <w:t xml:space="preserve"> </w:t>
      </w:r>
      <w:r>
        <w:t>of how their students are coping</w:t>
      </w:r>
      <w:r>
        <w:t xml:space="preserve"> at school, to consider their social and emotional wellbeing as well as</w:t>
      </w:r>
      <w:r>
        <w:rPr>
          <w:spacing w:val="1"/>
        </w:rPr>
        <w:t xml:space="preserve"> </w:t>
      </w:r>
      <w:r>
        <w:t>their academic wellbeing, and to encourage them to seek support if necessary</w:t>
      </w:r>
      <w:r>
        <w:rPr>
          <w:vertAlign w:val="superscript"/>
        </w:rPr>
        <w:t>44</w:t>
      </w:r>
      <w:r>
        <w:t>. Furthermore,</w:t>
      </w:r>
      <w:r>
        <w:rPr>
          <w:spacing w:val="1"/>
        </w:rPr>
        <w:t xml:space="preserve"> </w:t>
      </w:r>
      <w:r>
        <w:t>collaborative and communicative relationships are needed between the school and the caregiv</w:t>
      </w:r>
      <w:r>
        <w:t>er as</w:t>
      </w:r>
      <w:r>
        <w:rPr>
          <w:spacing w:val="1"/>
        </w:rPr>
        <w:t xml:space="preserve"> </w:t>
      </w:r>
      <w:r>
        <w:t>positive</w:t>
      </w:r>
      <w:r>
        <w:rPr>
          <w:spacing w:val="-1"/>
        </w:rPr>
        <w:t xml:space="preserve"> </w:t>
      </w:r>
      <w:r>
        <w:t>relationships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vital</w:t>
      </w:r>
      <w:r>
        <w:rPr>
          <w:spacing w:val="-3"/>
        </w:rPr>
        <w:t xml:space="preserve"> </w:t>
      </w:r>
      <w:r>
        <w:t>to positive school experiences</w:t>
      </w:r>
      <w:r>
        <w:rPr>
          <w:spacing w:val="-2"/>
        </w:rPr>
        <w:t xml:space="preserve"> </w:t>
      </w:r>
      <w:r>
        <w:t>among</w:t>
      </w:r>
      <w:r>
        <w:rPr>
          <w:spacing w:val="-1"/>
        </w:rPr>
        <w:t xml:space="preserve"> </w:t>
      </w:r>
      <w:r>
        <w:t>youth</w:t>
      </w:r>
      <w:r>
        <w:rPr>
          <w:vertAlign w:val="superscript"/>
        </w:rPr>
        <w:t>28,37</w:t>
      </w:r>
      <w:r>
        <w:t>.</w:t>
      </w:r>
    </w:p>
    <w:p w14:paraId="3865391D" w14:textId="77777777" w:rsidR="002A14F8" w:rsidRDefault="002A14F8">
      <w:pPr>
        <w:pStyle w:val="BodyText"/>
      </w:pPr>
    </w:p>
    <w:p w14:paraId="1E4CDFF5" w14:textId="77777777" w:rsidR="002A14F8" w:rsidRDefault="003458B8">
      <w:pPr>
        <w:pStyle w:val="BodyText"/>
        <w:ind w:left="540" w:right="553"/>
      </w:pPr>
      <w:r>
        <w:t>Benefits of having support from family/whānau members on youth wellbeing were brought up across</w:t>
      </w:r>
      <w:r>
        <w:rPr>
          <w:spacing w:val="-52"/>
        </w:rPr>
        <w:t xml:space="preserve"> </w:t>
      </w:r>
      <w:r>
        <w:t>numerous academic research</w:t>
      </w:r>
      <w:r>
        <w:rPr>
          <w:vertAlign w:val="superscript"/>
        </w:rPr>
        <w:t>39,46,53,56,60,61</w:t>
      </w:r>
      <w:r>
        <w:t>. Often, intergenerational education is more effective than</w:t>
      </w:r>
      <w:r>
        <w:rPr>
          <w:spacing w:val="1"/>
        </w:rPr>
        <w:t xml:space="preserve"> </w:t>
      </w:r>
      <w:r>
        <w:t>traditional classroom efforts alone</w:t>
      </w:r>
      <w:r>
        <w:rPr>
          <w:vertAlign w:val="superscript"/>
        </w:rPr>
        <w:t>56</w:t>
      </w:r>
      <w:r>
        <w:t xml:space="preserve">. Family/whānau has </w:t>
      </w:r>
      <w:r>
        <w:t>the potential to assist youth with educational</w:t>
      </w:r>
      <w:r>
        <w:rPr>
          <w:spacing w:val="-52"/>
        </w:rPr>
        <w:t xml:space="preserve"> </w:t>
      </w:r>
      <w:r>
        <w:t>engagement and ensuring youth are staying on-track at school, and this is especially true for</w:t>
      </w:r>
      <w:r>
        <w:rPr>
          <w:spacing w:val="1"/>
        </w:rPr>
        <w:t xml:space="preserve"> </w:t>
      </w:r>
      <w:r>
        <w:t>vulnerable youth</w:t>
      </w:r>
      <w:r>
        <w:rPr>
          <w:vertAlign w:val="superscript"/>
        </w:rPr>
        <w:t>61</w:t>
      </w:r>
      <w:r>
        <w:t>. Family/whānau would benefit from similar information being made available to</w:t>
      </w:r>
      <w:r>
        <w:rPr>
          <w:spacing w:val="1"/>
        </w:rPr>
        <w:t xml:space="preserve"> </w:t>
      </w:r>
      <w:r>
        <w:t>appreciate the str</w:t>
      </w:r>
      <w:r>
        <w:t>esses involved in the support process and to be able to offer creative solutions to</w:t>
      </w:r>
      <w:r>
        <w:rPr>
          <w:spacing w:val="1"/>
        </w:rPr>
        <w:t xml:space="preserve"> </w:t>
      </w:r>
      <w:r>
        <w:t>support youth</w:t>
      </w:r>
      <w:r>
        <w:rPr>
          <w:vertAlign w:val="superscript"/>
        </w:rPr>
        <w:t>46</w:t>
      </w:r>
      <w:r>
        <w:t>. As family/whānau structures evolve, policies to increase effective co-parenting</w:t>
      </w:r>
      <w:r>
        <w:rPr>
          <w:spacing w:val="1"/>
        </w:rPr>
        <w:t xml:space="preserve"> </w:t>
      </w:r>
      <w:r>
        <w:t>should be investigated by the government, including providing in-home educa</w:t>
      </w:r>
      <w:r>
        <w:t>tion programmes for</w:t>
      </w:r>
      <w:r>
        <w:rPr>
          <w:spacing w:val="1"/>
        </w:rPr>
        <w:t xml:space="preserve"> </w:t>
      </w:r>
      <w:r>
        <w:t>new fathers or relationship building or exploring programmes that can improve the quality of the</w:t>
      </w:r>
      <w:r>
        <w:rPr>
          <w:spacing w:val="1"/>
        </w:rPr>
        <w:t xml:space="preserve"> </w:t>
      </w:r>
      <w:r>
        <w:t>parental relationship</w:t>
      </w:r>
      <w:r>
        <w:rPr>
          <w:spacing w:val="-2"/>
        </w:rPr>
        <w:t xml:space="preserve"> </w:t>
      </w:r>
      <w:r>
        <w:t>in relation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childhood adversities</w:t>
      </w:r>
      <w:r>
        <w:rPr>
          <w:vertAlign w:val="superscript"/>
        </w:rPr>
        <w:t>46</w:t>
      </w:r>
      <w:r>
        <w:t>.</w:t>
      </w:r>
    </w:p>
    <w:p w14:paraId="06388C5B" w14:textId="77777777" w:rsidR="002A14F8" w:rsidRDefault="002A14F8">
      <w:pPr>
        <w:pStyle w:val="BodyText"/>
        <w:spacing w:before="2"/>
      </w:pPr>
    </w:p>
    <w:p w14:paraId="426D2413" w14:textId="77777777" w:rsidR="002A14F8" w:rsidRDefault="003458B8">
      <w:pPr>
        <w:pStyle w:val="BodyText"/>
        <w:ind w:left="540" w:right="591"/>
      </w:pPr>
      <w:r>
        <w:t>It is necessary that the messages within the public domain are accurate, and</w:t>
      </w:r>
      <w:r>
        <w:t xml:space="preserve"> that the media consider</w:t>
      </w:r>
      <w:r>
        <w:rPr>
          <w:spacing w:val="1"/>
        </w:rPr>
        <w:t xml:space="preserve"> </w:t>
      </w:r>
      <w:r>
        <w:t>the purpose of their reporting</w:t>
      </w:r>
      <w:r>
        <w:rPr>
          <w:vertAlign w:val="superscript"/>
        </w:rPr>
        <w:t>44</w:t>
      </w:r>
      <w:r>
        <w:t>. Youth need to be supported to become informed and resilient</w:t>
      </w:r>
      <w:r>
        <w:rPr>
          <w:spacing w:val="1"/>
        </w:rPr>
        <w:t xml:space="preserve"> </w:t>
      </w:r>
      <w:r>
        <w:t>consumers of media so that they are equipped with information to deal with the negative</w:t>
      </w:r>
      <w:r>
        <w:rPr>
          <w:spacing w:val="1"/>
        </w:rPr>
        <w:t xml:space="preserve"> </w:t>
      </w:r>
      <w:r>
        <w:t>consequences of harmful media content</w:t>
      </w:r>
      <w:r>
        <w:rPr>
          <w:vertAlign w:val="superscript"/>
        </w:rPr>
        <w:t>62</w:t>
      </w:r>
      <w:r>
        <w:t>. Stigma r</w:t>
      </w:r>
      <w:r>
        <w:t>egarding mental health problems and seeking help</w:t>
      </w:r>
      <w:r>
        <w:rPr>
          <w:spacing w:val="-52"/>
        </w:rPr>
        <w:t xml:space="preserve"> </w:t>
      </w:r>
      <w:r>
        <w:t>was exposed to youth via society’s stigma and judgments, and this is particularly evident in popular</w:t>
      </w:r>
      <w:r>
        <w:rPr>
          <w:spacing w:val="1"/>
        </w:rPr>
        <w:t xml:space="preserve"> </w:t>
      </w:r>
      <w:r>
        <w:t>culture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media</w:t>
      </w:r>
      <w:r>
        <w:rPr>
          <w:vertAlign w:val="superscript"/>
        </w:rPr>
        <w:t>42</w:t>
      </w:r>
      <w:r>
        <w:t>.</w:t>
      </w:r>
    </w:p>
    <w:p w14:paraId="700DBC66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5A018A8A" w14:textId="77777777" w:rsidR="002A14F8" w:rsidRDefault="003458B8">
      <w:pPr>
        <w:pStyle w:val="BodyText"/>
        <w:spacing w:before="75"/>
        <w:ind w:left="540" w:right="520"/>
      </w:pPr>
      <w:r>
        <w:lastRenderedPageBreak/>
        <w:t>System change needs to occur by recognising young people as the exp</w:t>
      </w:r>
      <w:r>
        <w:t>erts in their own</w:t>
      </w:r>
      <w:r>
        <w:rPr>
          <w:spacing w:val="1"/>
        </w:rPr>
        <w:t xml:space="preserve"> </w:t>
      </w:r>
      <w:r>
        <w:t>lives</w:t>
      </w:r>
      <w:r>
        <w:rPr>
          <w:vertAlign w:val="superscript"/>
        </w:rPr>
        <w:t>28,41,51,52,57,59,63</w:t>
      </w:r>
      <w:r>
        <w:t>. Traditional expectations for civic engagement and participation are often not</w:t>
      </w:r>
      <w:r>
        <w:rPr>
          <w:spacing w:val="1"/>
        </w:rPr>
        <w:t xml:space="preserve"> </w:t>
      </w:r>
      <w:r>
        <w:t>appealing for youth because they are not relevant or accessible, and frequently tokenistic</w:t>
      </w:r>
      <w:r>
        <w:rPr>
          <w:vertAlign w:val="superscript"/>
        </w:rPr>
        <w:t>51</w:t>
      </w:r>
      <w:r>
        <w:t>. System</w:t>
      </w:r>
      <w:r>
        <w:rPr>
          <w:spacing w:val="1"/>
        </w:rPr>
        <w:t xml:space="preserve"> </w:t>
      </w:r>
      <w:r>
        <w:t>change should begin with promoti</w:t>
      </w:r>
      <w:r>
        <w:t>on of strengths among youth, provision of better role models,</w:t>
      </w:r>
      <w:r>
        <w:rPr>
          <w:spacing w:val="1"/>
        </w:rPr>
        <w:t xml:space="preserve"> </w:t>
      </w:r>
      <w:r>
        <w:t>fostering of agency for effect youth leadership, and improved services and institutions for those who</w:t>
      </w:r>
      <w:r>
        <w:rPr>
          <w:spacing w:val="1"/>
        </w:rPr>
        <w:t xml:space="preserve"> </w:t>
      </w:r>
      <w:r>
        <w:t>are marginalised</w:t>
      </w:r>
      <w:r>
        <w:rPr>
          <w:vertAlign w:val="superscript"/>
        </w:rPr>
        <w:t>28,51,63</w:t>
      </w:r>
      <w:r>
        <w:t>. Continuous investment in supporting young people should be deemed</w:t>
      </w:r>
      <w:r>
        <w:rPr>
          <w:spacing w:val="1"/>
        </w:rPr>
        <w:t xml:space="preserve"> </w:t>
      </w:r>
      <w:r>
        <w:t>worthwhile</w:t>
      </w:r>
      <w:r>
        <w:rPr>
          <w:vertAlign w:val="superscript"/>
        </w:rPr>
        <w:t>51</w:t>
      </w:r>
      <w:r>
        <w:t>. Government plays a crucial role in enhancing the support and resources provided by</w:t>
      </w:r>
      <w:r>
        <w:rPr>
          <w:spacing w:val="1"/>
        </w:rPr>
        <w:t xml:space="preserve"> </w:t>
      </w:r>
      <w:r>
        <w:t>schools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support</w:t>
      </w:r>
      <w:r>
        <w:rPr>
          <w:spacing w:val="3"/>
        </w:rPr>
        <w:t xml:space="preserve"> </w:t>
      </w:r>
      <w:r>
        <w:t>systems</w:t>
      </w:r>
      <w:r>
        <w:rPr>
          <w:spacing w:val="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set</w:t>
      </w:r>
      <w:r>
        <w:rPr>
          <w:spacing w:val="2"/>
        </w:rPr>
        <w:t xml:space="preserve"> </w:t>
      </w:r>
      <w:r>
        <w:t>up</w:t>
      </w:r>
      <w:r>
        <w:rPr>
          <w:spacing w:val="2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education</w:t>
      </w:r>
      <w:r>
        <w:rPr>
          <w:spacing w:val="-1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enhance</w:t>
      </w:r>
      <w:r>
        <w:rPr>
          <w:spacing w:val="1"/>
        </w:rPr>
        <w:t xml:space="preserve"> </w:t>
      </w:r>
      <w:r>
        <w:t>communication and information-sharing across agencies, and provide training on the needs and</w:t>
      </w:r>
      <w:r>
        <w:rPr>
          <w:spacing w:val="1"/>
        </w:rPr>
        <w:t xml:space="preserve"> </w:t>
      </w:r>
      <w:r>
        <w:t>strengths of care-experienced children and young people to those involved in their care and</w:t>
      </w:r>
      <w:r>
        <w:rPr>
          <w:spacing w:val="1"/>
        </w:rPr>
        <w:t xml:space="preserve"> </w:t>
      </w:r>
      <w:r>
        <w:t>education</w:t>
      </w:r>
      <w:r>
        <w:rPr>
          <w:vertAlign w:val="superscript"/>
        </w:rPr>
        <w:t>28,37</w:t>
      </w:r>
      <w:r>
        <w:t>. Professionals that work with children could benefit fro</w:t>
      </w:r>
      <w:r>
        <w:t>m focusing on the lived</w:t>
      </w:r>
      <w:r>
        <w:rPr>
          <w:spacing w:val="1"/>
        </w:rPr>
        <w:t xml:space="preserve"> </w:t>
      </w:r>
      <w:r>
        <w:t>experience of youth in their environments</w:t>
      </w:r>
      <w:r>
        <w:rPr>
          <w:vertAlign w:val="superscript"/>
        </w:rPr>
        <w:t>48,64</w:t>
      </w:r>
      <w:r>
        <w:t>. Youth were more likely to remain engaged with</w:t>
      </w:r>
      <w:r>
        <w:rPr>
          <w:spacing w:val="1"/>
        </w:rPr>
        <w:t xml:space="preserve"> </w:t>
      </w:r>
      <w:r>
        <w:t>services when relationships are built based on mutuality and reciprocal recognition</w:t>
      </w:r>
      <w:r>
        <w:rPr>
          <w:vertAlign w:val="superscript"/>
        </w:rPr>
        <w:t>63–65</w:t>
      </w:r>
      <w:r>
        <w:t>. It is important</w:t>
      </w:r>
      <w:r>
        <w:rPr>
          <w:spacing w:val="-52"/>
        </w:rPr>
        <w:t xml:space="preserve"> </w:t>
      </w:r>
      <w:r>
        <w:t>for service providers to recogni</w:t>
      </w:r>
      <w:r>
        <w:t>se engagement with youth as an ongoing process rather than a singular</w:t>
      </w:r>
      <w:r>
        <w:rPr>
          <w:spacing w:val="-52"/>
        </w:rPr>
        <w:t xml:space="preserve"> </w:t>
      </w:r>
      <w:r>
        <w:t>event,</w:t>
      </w:r>
      <w:r>
        <w:rPr>
          <w:spacing w:val="-1"/>
        </w:rPr>
        <w:t xml:space="preserve"> </w:t>
      </w:r>
      <w:r>
        <w:t>and made</w:t>
      </w:r>
      <w:r>
        <w:rPr>
          <w:spacing w:val="-1"/>
        </w:rPr>
        <w:t xml:space="preserve"> </w:t>
      </w:r>
      <w:r>
        <w:t>the effort</w:t>
      </w:r>
      <w:r>
        <w:rPr>
          <w:spacing w:val="-3"/>
        </w:rPr>
        <w:t xml:space="preserve"> </w:t>
      </w:r>
      <w:r>
        <w:t>to connect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young</w:t>
      </w:r>
      <w:r>
        <w:rPr>
          <w:spacing w:val="-3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throughout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challenges</w:t>
      </w:r>
      <w:r>
        <w:rPr>
          <w:spacing w:val="-1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face.</w:t>
      </w:r>
    </w:p>
    <w:p w14:paraId="082CC925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392D5154" w14:textId="77777777" w:rsidR="002A14F8" w:rsidRDefault="003458B8">
      <w:pPr>
        <w:pStyle w:val="Heading1"/>
      </w:pPr>
      <w:bookmarkStart w:id="3" w:name="_bookmark3"/>
      <w:bookmarkEnd w:id="3"/>
      <w:r>
        <w:lastRenderedPageBreak/>
        <w:t>Disability</w:t>
      </w:r>
    </w:p>
    <w:p w14:paraId="1A95E8E5" w14:textId="77777777" w:rsidR="002A14F8" w:rsidRDefault="003458B8">
      <w:pPr>
        <w:pStyle w:val="BodyText"/>
        <w:spacing w:before="31" w:line="259" w:lineRule="auto"/>
        <w:ind w:left="540" w:right="578"/>
      </w:pPr>
      <w:r>
        <w:t>The disability community comprises of a wide array of both physi</w:t>
      </w:r>
      <w:r>
        <w:t>cal and intellectual, and neuro-</w:t>
      </w:r>
      <w:r>
        <w:rPr>
          <w:spacing w:val="1"/>
        </w:rPr>
        <w:t xml:space="preserve"> </w:t>
      </w:r>
      <w:r>
        <w:t xml:space="preserve">diverse conditions. The community aims to </w:t>
      </w:r>
      <w:r>
        <w:rPr>
          <w:color w:val="212121"/>
        </w:rPr>
        <w:t>overcome pathological considerations of their condition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and rather, adopt a social model of disability that focuses on identifying and addressing the social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barriers as the main con</w:t>
      </w:r>
      <w:r>
        <w:rPr>
          <w:color w:val="212121"/>
        </w:rPr>
        <w:t>tributing factor that disables people. There are numerous organisations that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advocate on behalf of their communities and most of these are specific to particular conditions. Many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of the smaller organisations do not have the resources to make submissions to the government on 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regular basis or be consulted. Rather, it is the larger organisations that tend to take the lead on such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work, such as IHC and CCS</w:t>
      </w:r>
      <w:r>
        <w:rPr>
          <w:spacing w:val="-1"/>
          <w:vertAlign w:val="superscript"/>
        </w:rPr>
        <w:t>66,</w:t>
      </w:r>
      <w:r>
        <w:rPr>
          <w:spacing w:val="-1"/>
        </w:rPr>
        <w:t xml:space="preserve"> </w:t>
      </w:r>
      <w:r>
        <w:rPr>
          <w:spacing w:val="-1"/>
          <w:vertAlign w:val="superscript"/>
        </w:rPr>
        <w:t>67</w:t>
      </w:r>
      <w:r>
        <w:rPr>
          <w:color w:val="212121"/>
          <w:spacing w:val="-1"/>
        </w:rPr>
        <w:t xml:space="preserve">. </w:t>
      </w:r>
      <w:r>
        <w:rPr>
          <w:color w:val="212121"/>
        </w:rPr>
        <w:t>As larger organisati</w:t>
      </w:r>
      <w:r>
        <w:rPr>
          <w:color w:val="212121"/>
        </w:rPr>
        <w:t>ons, they have more resources and thus able 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be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more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proactive in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consultation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Government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other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ministries 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departments.</w:t>
      </w:r>
    </w:p>
    <w:p w14:paraId="041469D1" w14:textId="77777777" w:rsidR="002A14F8" w:rsidRDefault="003458B8">
      <w:pPr>
        <w:pStyle w:val="BodyText"/>
        <w:spacing w:line="256" w:lineRule="auto"/>
        <w:ind w:left="540" w:right="736"/>
      </w:pPr>
      <w:r>
        <w:rPr>
          <w:color w:val="212121"/>
        </w:rPr>
        <w:t>However, the differentiated need of the smaller organisations of often not considered in the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submissions of the large</w:t>
      </w:r>
      <w:r>
        <w:rPr>
          <w:color w:val="212121"/>
        </w:rPr>
        <w:t>r organisations. Moreover, the smaller organisations struggle to get funding</w:t>
      </w:r>
      <w:r>
        <w:rPr>
          <w:color w:val="212121"/>
          <w:spacing w:val="-52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necessary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resources for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community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has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specific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needs.</w:t>
      </w:r>
    </w:p>
    <w:p w14:paraId="1E2C3B7D" w14:textId="77777777" w:rsidR="002A14F8" w:rsidRDefault="003458B8">
      <w:pPr>
        <w:pStyle w:val="BodyText"/>
        <w:spacing w:before="166" w:line="259" w:lineRule="auto"/>
        <w:ind w:left="540" w:right="572"/>
      </w:pPr>
      <w:r>
        <w:t>Central to this community is elements of bodily autonomy and self-determination. Disabled people</w:t>
      </w:r>
      <w:r>
        <w:rPr>
          <w:spacing w:val="1"/>
        </w:rPr>
        <w:t xml:space="preserve"> </w:t>
      </w:r>
      <w:r>
        <w:t xml:space="preserve">aspire to be </w:t>
      </w:r>
      <w:r>
        <w:t>empowered to live the life of their choosing, and to be included in decision-making</w:t>
      </w:r>
      <w:r>
        <w:rPr>
          <w:spacing w:val="1"/>
        </w:rPr>
        <w:t xml:space="preserve"> </w:t>
      </w:r>
      <w:r>
        <w:t>processes</w:t>
      </w:r>
      <w:r>
        <w:rPr>
          <w:vertAlign w:val="superscript"/>
        </w:rPr>
        <w:t>68</w:t>
      </w:r>
      <w:r>
        <w:t>.</w:t>
      </w:r>
      <w:r>
        <w:rPr>
          <w:spacing w:val="1"/>
        </w:rPr>
        <w:t xml:space="preserve"> </w:t>
      </w:r>
      <w:r>
        <w:t>Those with disabilities indicated that they describe and conceptualise quality of life in</w:t>
      </w:r>
      <w:r>
        <w:rPr>
          <w:spacing w:val="1"/>
        </w:rPr>
        <w:t xml:space="preserve"> </w:t>
      </w:r>
      <w:r>
        <w:t>four interrelated ways: (1) independent living, (2) normal life, (3) connectedness to family and</w:t>
      </w:r>
      <w:r>
        <w:rPr>
          <w:spacing w:val="1"/>
        </w:rPr>
        <w:t xml:space="preserve"> </w:t>
      </w:r>
      <w:r>
        <w:t>culture, and (4) performance of social roles</w:t>
      </w:r>
      <w:r>
        <w:rPr>
          <w:vertAlign w:val="superscript"/>
        </w:rPr>
        <w:t>69</w:t>
      </w:r>
      <w:r>
        <w:t>. To enhance and mainta</w:t>
      </w:r>
      <w:r>
        <w:t>in quality of life these</w:t>
      </w:r>
      <w:r>
        <w:rPr>
          <w:spacing w:val="1"/>
        </w:rPr>
        <w:t xml:space="preserve"> </w:t>
      </w:r>
      <w:r>
        <w:t>participants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families</w:t>
      </w:r>
      <w:r>
        <w:rPr>
          <w:spacing w:val="-1"/>
        </w:rPr>
        <w:t xml:space="preserve"> </w:t>
      </w:r>
      <w:r>
        <w:t>sought</w:t>
      </w:r>
      <w:r>
        <w:rPr>
          <w:spacing w:val="-3"/>
        </w:rPr>
        <w:t xml:space="preserve"> </w:t>
      </w:r>
      <w:r>
        <w:t>four</w:t>
      </w:r>
      <w:r>
        <w:rPr>
          <w:spacing w:val="-2"/>
        </w:rPr>
        <w:t xml:space="preserve"> </w:t>
      </w:r>
      <w:r>
        <w:t>interventions: cultural,</w:t>
      </w:r>
      <w:r>
        <w:rPr>
          <w:spacing w:val="-2"/>
        </w:rPr>
        <w:t xml:space="preserve"> </w:t>
      </w:r>
      <w:r>
        <w:t>biomedical,</w:t>
      </w:r>
      <w:r>
        <w:rPr>
          <w:spacing w:val="-1"/>
        </w:rPr>
        <w:t xml:space="preserve"> </w:t>
      </w:r>
      <w:r>
        <w:t>social and</w:t>
      </w:r>
      <w:r>
        <w:rPr>
          <w:spacing w:val="-4"/>
        </w:rPr>
        <w:t xml:space="preserve"> </w:t>
      </w:r>
      <w:r>
        <w:t>economic</w:t>
      </w:r>
      <w:r>
        <w:rPr>
          <w:vertAlign w:val="superscript"/>
        </w:rPr>
        <w:t>69</w:t>
      </w:r>
      <w:r>
        <w:t>.</w:t>
      </w:r>
    </w:p>
    <w:p w14:paraId="21F2E59B" w14:textId="77777777" w:rsidR="002A14F8" w:rsidRDefault="003458B8">
      <w:pPr>
        <w:pStyle w:val="BodyText"/>
        <w:spacing w:before="159" w:line="259" w:lineRule="auto"/>
        <w:ind w:left="540" w:right="505"/>
      </w:pPr>
      <w:r>
        <w:t>Funding for Ministry-funded disability supports has grown at a similar rate to overall health funding</w:t>
      </w:r>
      <w:r>
        <w:rPr>
          <w:vertAlign w:val="superscript"/>
        </w:rPr>
        <w:t>68</w:t>
      </w:r>
      <w:r>
        <w:t>.</w:t>
      </w:r>
      <w:r>
        <w:rPr>
          <w:spacing w:val="-52"/>
        </w:rPr>
        <w:t xml:space="preserve"> </w:t>
      </w:r>
      <w:r>
        <w:t xml:space="preserve">Most people use self- </w:t>
      </w:r>
      <w:r>
        <w:t>or family-organised services, and large numbers also use residential services,</w:t>
      </w:r>
      <w:r>
        <w:rPr>
          <w:spacing w:val="1"/>
        </w:rPr>
        <w:t xml:space="preserve"> </w:t>
      </w:r>
      <w:r>
        <w:t>provider-organised community support, and respite care though are highly prescribed and relatively</w:t>
      </w:r>
      <w:r>
        <w:rPr>
          <w:spacing w:val="1"/>
        </w:rPr>
        <w:t xml:space="preserve"> </w:t>
      </w:r>
      <w:r>
        <w:t>inflexible</w:t>
      </w:r>
      <w:r>
        <w:rPr>
          <w:vertAlign w:val="superscript"/>
        </w:rPr>
        <w:t>68</w:t>
      </w:r>
      <w:r>
        <w:t>. The</w:t>
      </w:r>
      <w:r>
        <w:rPr>
          <w:spacing w:val="4"/>
        </w:rPr>
        <w:t xml:space="preserve"> </w:t>
      </w:r>
      <w:r>
        <w:t>distribution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these</w:t>
      </w:r>
      <w:r>
        <w:rPr>
          <w:spacing w:val="5"/>
        </w:rPr>
        <w:t xml:space="preserve"> </w:t>
      </w:r>
      <w:r>
        <w:t>funded</w:t>
      </w:r>
      <w:r>
        <w:rPr>
          <w:spacing w:val="2"/>
        </w:rPr>
        <w:t xml:space="preserve"> </w:t>
      </w:r>
      <w:r>
        <w:t>service</w:t>
      </w:r>
      <w:r>
        <w:rPr>
          <w:spacing w:val="3"/>
        </w:rPr>
        <w:t xml:space="preserve"> </w:t>
      </w:r>
      <w:r>
        <w:t>types</w:t>
      </w:r>
      <w:r>
        <w:rPr>
          <w:spacing w:val="3"/>
        </w:rPr>
        <w:t xml:space="preserve"> </w:t>
      </w:r>
      <w:r>
        <w:t>across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countr</w:t>
      </w:r>
      <w:r>
        <w:t>y</w:t>
      </w:r>
      <w:r>
        <w:rPr>
          <w:spacing w:val="1"/>
        </w:rPr>
        <w:t xml:space="preserve"> </w:t>
      </w:r>
      <w:r>
        <w:t>varies</w:t>
      </w:r>
      <w:r>
        <w:rPr>
          <w:spacing w:val="3"/>
        </w:rPr>
        <w:t xml:space="preserve"> </w:t>
      </w:r>
      <w:r>
        <w:t>widely</w:t>
      </w:r>
      <w:r>
        <w:rPr>
          <w:spacing w:val="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though delivered by over 300 organisations it becomes concentrated within 5 large providers</w:t>
      </w:r>
      <w:r>
        <w:rPr>
          <w:vertAlign w:val="superscript"/>
        </w:rPr>
        <w:t>68</w:t>
      </w:r>
      <w:r>
        <w:t>. In a</w:t>
      </w:r>
      <w:r>
        <w:rPr>
          <w:spacing w:val="1"/>
        </w:rPr>
        <w:t xml:space="preserve"> </w:t>
      </w:r>
      <w:r>
        <w:t>Samoan study, it was discussed as a barrier for some who did not qualify due to the cause of their</w:t>
      </w:r>
      <w:r>
        <w:rPr>
          <w:spacing w:val="1"/>
        </w:rPr>
        <w:t xml:space="preserve"> </w:t>
      </w:r>
      <w:r>
        <w:t>impairment</w:t>
      </w:r>
      <w:r>
        <w:rPr>
          <w:vertAlign w:val="superscript"/>
        </w:rPr>
        <w:t>69</w:t>
      </w:r>
      <w:r>
        <w:t>.</w:t>
      </w:r>
    </w:p>
    <w:p w14:paraId="7E5F31D0" w14:textId="77777777" w:rsidR="002A14F8" w:rsidRDefault="003458B8">
      <w:pPr>
        <w:pStyle w:val="BodyText"/>
        <w:spacing w:before="159" w:line="259" w:lineRule="auto"/>
        <w:ind w:left="540" w:right="522"/>
      </w:pPr>
      <w:r>
        <w:t>The health and disabili</w:t>
      </w:r>
      <w:r>
        <w:t>ty system should support the empowerment of disabled people to live a life of</w:t>
      </w:r>
      <w:r>
        <w:rPr>
          <w:spacing w:val="1"/>
        </w:rPr>
        <w:t xml:space="preserve"> </w:t>
      </w:r>
      <w:r>
        <w:t>their choosing and be included in decision-making processes</w:t>
      </w:r>
      <w:r>
        <w:rPr>
          <w:vertAlign w:val="superscript"/>
        </w:rPr>
        <w:t>68</w:t>
      </w:r>
      <w:r>
        <w:t>.</w:t>
      </w:r>
      <w:r>
        <w:rPr>
          <w:spacing w:val="1"/>
        </w:rPr>
        <w:t xml:space="preserve"> </w:t>
      </w:r>
      <w:r>
        <w:t>Disabled peoples are some of the</w:t>
      </w:r>
      <w:r>
        <w:rPr>
          <w:spacing w:val="1"/>
        </w:rPr>
        <w:t xml:space="preserve"> </w:t>
      </w:r>
      <w:r>
        <w:t>highest users, but often have the greatest risk of poor health and wellbeing outcomes and lower life</w:t>
      </w:r>
      <w:r>
        <w:rPr>
          <w:spacing w:val="1"/>
        </w:rPr>
        <w:t xml:space="preserve"> </w:t>
      </w:r>
      <w:r>
        <w:t>expectancy</w:t>
      </w:r>
      <w:r>
        <w:rPr>
          <w:vertAlign w:val="superscript"/>
        </w:rPr>
        <w:t>70</w:t>
      </w:r>
      <w:r>
        <w:t>. Human rights state that everyone has the right to attain the highest standard of</w:t>
      </w:r>
      <w:r>
        <w:rPr>
          <w:spacing w:val="1"/>
        </w:rPr>
        <w:t xml:space="preserve"> </w:t>
      </w:r>
      <w:r>
        <w:t>healthcare without discrimination, healthcare providers shou</w:t>
      </w:r>
      <w:r>
        <w:t>ld ensure the availability of services and</w:t>
      </w:r>
      <w:r>
        <w:rPr>
          <w:spacing w:val="1"/>
        </w:rPr>
        <w:t xml:space="preserve"> </w:t>
      </w:r>
      <w:r>
        <w:t>remove physical, communication and coordination barriers that may hinder access to care</w:t>
      </w:r>
      <w:r>
        <w:rPr>
          <w:vertAlign w:val="superscript"/>
        </w:rPr>
        <w:t>71</w:t>
      </w:r>
      <w:r>
        <w:t>. Health</w:t>
      </w:r>
      <w:r>
        <w:rPr>
          <w:spacing w:val="1"/>
        </w:rPr>
        <w:t xml:space="preserve"> </w:t>
      </w:r>
      <w:r>
        <w:t>systems must also be responsive to the changing needs of these young people when transitioning from</w:t>
      </w:r>
      <w:r>
        <w:rPr>
          <w:spacing w:val="-52"/>
        </w:rPr>
        <w:t xml:space="preserve"> </w:t>
      </w:r>
      <w:r>
        <w:t>paediatric to a</w:t>
      </w:r>
      <w:r>
        <w:t>dult health services and provide better support for emerging capacity for self-</w:t>
      </w:r>
      <w:r>
        <w:rPr>
          <w:spacing w:val="1"/>
        </w:rPr>
        <w:t xml:space="preserve"> </w:t>
      </w:r>
      <w:r>
        <w:t>management</w:t>
      </w:r>
      <w:r>
        <w:rPr>
          <w:vertAlign w:val="superscript"/>
        </w:rPr>
        <w:t>71</w:t>
      </w:r>
      <w:r>
        <w:t>. Disabled people want more control over their own lives, and more flexibility and</w:t>
      </w:r>
      <w:r>
        <w:rPr>
          <w:spacing w:val="1"/>
        </w:rPr>
        <w:t xml:space="preserve"> </w:t>
      </w:r>
      <w:r>
        <w:t>inclusion</w:t>
      </w:r>
      <w:r>
        <w:rPr>
          <w:spacing w:val="-1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that they</w:t>
      </w:r>
      <w:r>
        <w:rPr>
          <w:spacing w:val="-3"/>
        </w:rPr>
        <w:t xml:space="preserve"> </w:t>
      </w:r>
      <w:r>
        <w:t>receive</w:t>
      </w:r>
      <w:r>
        <w:rPr>
          <w:spacing w:val="-1"/>
        </w:rPr>
        <w:t xml:space="preserve"> </w:t>
      </w:r>
      <w:r>
        <w:t>empowering, equitable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healthcare</w:t>
      </w:r>
      <w:r>
        <w:rPr>
          <w:vertAlign w:val="superscript"/>
        </w:rPr>
        <w:t>68</w:t>
      </w:r>
      <w:r>
        <w:t>.</w:t>
      </w:r>
    </w:p>
    <w:p w14:paraId="2506F5D8" w14:textId="77777777" w:rsidR="002A14F8" w:rsidRDefault="003458B8">
      <w:pPr>
        <w:pStyle w:val="BodyText"/>
        <w:spacing w:before="158" w:line="259" w:lineRule="auto"/>
        <w:ind w:left="540" w:right="506"/>
      </w:pPr>
      <w:r>
        <w:t>People with disabilities desire more support to be able to contribute and participate in decisions that</w:t>
      </w:r>
      <w:r>
        <w:rPr>
          <w:spacing w:val="1"/>
        </w:rPr>
        <w:t xml:space="preserve"> </w:t>
      </w:r>
      <w:r>
        <w:t>affect them</w:t>
      </w:r>
      <w:r>
        <w:rPr>
          <w:vertAlign w:val="superscript"/>
        </w:rPr>
        <w:t>70</w:t>
      </w:r>
      <w:r>
        <w:t>. They are often not included in discussions of mental health and wellbeing</w:t>
      </w:r>
      <w:r>
        <w:rPr>
          <w:vertAlign w:val="superscript"/>
        </w:rPr>
        <w:t>70</w:t>
      </w:r>
      <w:r>
        <w:t>. Carers play</w:t>
      </w:r>
      <w:r>
        <w:rPr>
          <w:spacing w:val="-52"/>
        </w:rPr>
        <w:t xml:space="preserve"> </w:t>
      </w:r>
      <w:r>
        <w:t>a crucial role in enabling people to live and participate in their communities</w:t>
      </w:r>
      <w:r>
        <w:rPr>
          <w:vertAlign w:val="superscript"/>
        </w:rPr>
        <w:t>72</w:t>
      </w:r>
      <w:r>
        <w:t>. Carers provide care for</w:t>
      </w:r>
      <w:r>
        <w:rPr>
          <w:spacing w:val="1"/>
        </w:rPr>
        <w:t xml:space="preserve"> </w:t>
      </w:r>
      <w:r>
        <w:t xml:space="preserve">someone close to them who needs additional assistance with </w:t>
      </w:r>
      <w:r>
        <w:t>their everyday living because of a</w:t>
      </w:r>
      <w:r>
        <w:rPr>
          <w:spacing w:val="1"/>
        </w:rPr>
        <w:t xml:space="preserve"> </w:t>
      </w:r>
      <w:r>
        <w:t>disability, health conditions, illness or injury. Carers also need support to ensure the person(s) they are</w:t>
      </w:r>
      <w:r>
        <w:rPr>
          <w:spacing w:val="-52"/>
        </w:rPr>
        <w:t xml:space="preserve"> </w:t>
      </w:r>
      <w:r>
        <w:t>looking</w:t>
      </w:r>
      <w:r>
        <w:rPr>
          <w:spacing w:val="2"/>
        </w:rPr>
        <w:t xml:space="preserve"> </w:t>
      </w:r>
      <w:r>
        <w:t>after</w:t>
      </w:r>
      <w:r>
        <w:rPr>
          <w:spacing w:val="3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well</w:t>
      </w:r>
      <w:r>
        <w:rPr>
          <w:spacing w:val="3"/>
        </w:rPr>
        <w:t xml:space="preserve"> </w:t>
      </w:r>
      <w:r>
        <w:t>cared</w:t>
      </w:r>
      <w:r>
        <w:rPr>
          <w:spacing w:val="5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includes</w:t>
      </w:r>
      <w:r>
        <w:rPr>
          <w:spacing w:val="5"/>
        </w:rPr>
        <w:t xml:space="preserve"> </w:t>
      </w:r>
      <w:r>
        <w:t>adequate</w:t>
      </w:r>
      <w:r>
        <w:rPr>
          <w:spacing w:val="5"/>
        </w:rPr>
        <w:t xml:space="preserve"> </w:t>
      </w:r>
      <w:r>
        <w:t>resourcing</w:t>
      </w:r>
      <w:r>
        <w:rPr>
          <w:spacing w:val="3"/>
        </w:rPr>
        <w:t xml:space="preserve"> </w:t>
      </w:r>
      <w:r>
        <w:t>(including</w:t>
      </w:r>
      <w:r>
        <w:rPr>
          <w:spacing w:val="2"/>
        </w:rPr>
        <w:t xml:space="preserve"> </w:t>
      </w:r>
      <w:r>
        <w:t>payment)</w:t>
      </w:r>
      <w:r>
        <w:rPr>
          <w:vertAlign w:val="superscript"/>
        </w:rPr>
        <w:t>72</w:t>
      </w:r>
      <w:r>
        <w:t>.</w:t>
      </w:r>
      <w:r>
        <w:rPr>
          <w:spacing w:val="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choice</w:t>
      </w:r>
      <w:r>
        <w:rPr>
          <w:spacing w:val="-1"/>
        </w:rPr>
        <w:t xml:space="preserve"> </w:t>
      </w:r>
      <w:r>
        <w:t>of carer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caring</w:t>
      </w:r>
      <w:r>
        <w:rPr>
          <w:spacing w:val="-3"/>
        </w:rPr>
        <w:t xml:space="preserve"> </w:t>
      </w:r>
      <w:r>
        <w:t>of disabled</w:t>
      </w:r>
      <w:r>
        <w:rPr>
          <w:spacing w:val="-1"/>
        </w:rPr>
        <w:t xml:space="preserve"> </w:t>
      </w:r>
      <w:r>
        <w:t>people should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prioritised</w:t>
      </w:r>
      <w:r>
        <w:rPr>
          <w:spacing w:val="-3"/>
        </w:rPr>
        <w:t xml:space="preserve"> </w:t>
      </w:r>
      <w:r>
        <w:t>and well-funded</w:t>
      </w:r>
      <w:r>
        <w:rPr>
          <w:vertAlign w:val="superscript"/>
        </w:rPr>
        <w:t>70</w:t>
      </w:r>
      <w:r>
        <w:t>.</w:t>
      </w:r>
    </w:p>
    <w:p w14:paraId="17122DEC" w14:textId="77777777" w:rsidR="002A14F8" w:rsidRDefault="003458B8">
      <w:pPr>
        <w:pStyle w:val="BodyText"/>
        <w:spacing w:before="159" w:line="259" w:lineRule="auto"/>
        <w:ind w:left="540" w:right="536"/>
      </w:pPr>
      <w:r>
        <w:t>Accessibility is a barrier to social inclusion and participation. Public spaces should be based on a</w:t>
      </w:r>
      <w:r>
        <w:rPr>
          <w:spacing w:val="1"/>
        </w:rPr>
        <w:t xml:space="preserve"> </w:t>
      </w:r>
      <w:r>
        <w:t>universal design, which safely allows disabled people access to, and the ab</w:t>
      </w:r>
      <w:r>
        <w:t>ility to participate in</w:t>
      </w:r>
      <w:r>
        <w:rPr>
          <w:spacing w:val="1"/>
        </w:rPr>
        <w:t xml:space="preserve"> </w:t>
      </w:r>
      <w:r>
        <w:t>communities, education, health services, recreation, and make social connections</w:t>
      </w:r>
      <w:r>
        <w:rPr>
          <w:vertAlign w:val="superscript"/>
        </w:rPr>
        <w:t>73</w:t>
      </w:r>
      <w:r>
        <w:t>. This also includes</w:t>
      </w:r>
      <w:r>
        <w:rPr>
          <w:spacing w:val="-52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to, and</w:t>
      </w:r>
      <w:r>
        <w:rPr>
          <w:spacing w:val="-3"/>
        </w:rPr>
        <w:t xml:space="preserve"> </w:t>
      </w:r>
      <w:r>
        <w:t>use,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facilities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services such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buildings,</w:t>
      </w:r>
      <w:r>
        <w:rPr>
          <w:spacing w:val="-2"/>
        </w:rPr>
        <w:t xml:space="preserve"> </w:t>
      </w:r>
      <w:r>
        <w:t>roads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footpaths,</w:t>
      </w:r>
      <w:r>
        <w:rPr>
          <w:spacing w:val="-2"/>
        </w:rPr>
        <w:t xml:space="preserve"> </w:t>
      </w:r>
      <w:r>
        <w:t>signs,</w:t>
      </w:r>
      <w:r>
        <w:rPr>
          <w:spacing w:val="-1"/>
        </w:rPr>
        <w:t xml:space="preserve"> </w:t>
      </w:r>
      <w:r>
        <w:t>recreation</w:t>
      </w:r>
    </w:p>
    <w:p w14:paraId="2F787108" w14:textId="77777777" w:rsidR="002A14F8" w:rsidRDefault="002A14F8">
      <w:pPr>
        <w:spacing w:line="259" w:lineRule="auto"/>
        <w:sectPr w:rsidR="002A14F8">
          <w:pgSz w:w="11910" w:h="16840"/>
          <w:pgMar w:top="1360" w:right="940" w:bottom="1200" w:left="900" w:header="0" w:footer="1010" w:gutter="0"/>
          <w:cols w:space="720"/>
        </w:sectPr>
      </w:pPr>
    </w:p>
    <w:p w14:paraId="3A94FF85" w14:textId="77777777" w:rsidR="002A14F8" w:rsidRDefault="003458B8">
      <w:pPr>
        <w:pStyle w:val="BodyText"/>
        <w:spacing w:before="78" w:line="256" w:lineRule="auto"/>
        <w:ind w:left="540" w:right="566"/>
      </w:pPr>
      <w:r>
        <w:lastRenderedPageBreak/>
        <w:t>facili</w:t>
      </w:r>
      <w:r>
        <w:t>ties, and parks</w:t>
      </w:r>
      <w:r>
        <w:rPr>
          <w:vertAlign w:val="superscript"/>
        </w:rPr>
        <w:t>73</w:t>
      </w:r>
      <w:r>
        <w:t>. For example, though public parks and playgrounds are generally enjoyed by all</w:t>
      </w:r>
      <w:r>
        <w:rPr>
          <w:spacing w:val="-52"/>
        </w:rPr>
        <w:t xml:space="preserve"> </w:t>
      </w:r>
      <w:r>
        <w:t>at low</w:t>
      </w:r>
      <w:r>
        <w:rPr>
          <w:spacing w:val="-1"/>
        </w:rPr>
        <w:t xml:space="preserve"> </w:t>
      </w:r>
      <w:r>
        <w:t>or no financial</w:t>
      </w:r>
      <w:r>
        <w:rPr>
          <w:spacing w:val="1"/>
        </w:rPr>
        <w:t xml:space="preserve"> </w:t>
      </w:r>
      <w:r>
        <w:t>cost,</w:t>
      </w:r>
      <w:r>
        <w:rPr>
          <w:spacing w:val="-5"/>
        </w:rPr>
        <w:t xml:space="preserve"> </w:t>
      </w:r>
      <w:r>
        <w:t>many</w:t>
      </w:r>
      <w:r>
        <w:rPr>
          <w:spacing w:val="-3"/>
        </w:rPr>
        <w:t xml:space="preserve"> </w:t>
      </w:r>
      <w:r>
        <w:t>are not</w:t>
      </w:r>
      <w:r>
        <w:rPr>
          <w:spacing w:val="-1"/>
        </w:rPr>
        <w:t xml:space="preserve"> </w:t>
      </w:r>
      <w:r>
        <w:t>designed or</w:t>
      </w:r>
      <w:r>
        <w:rPr>
          <w:spacing w:val="-2"/>
        </w:rPr>
        <w:t xml:space="preserve"> </w:t>
      </w:r>
      <w:r>
        <w:t>evaluated</w:t>
      </w:r>
      <w:r>
        <w:rPr>
          <w:spacing w:val="-2"/>
        </w:rPr>
        <w:t xml:space="preserve"> </w:t>
      </w:r>
      <w:r>
        <w:t>for use by</w:t>
      </w:r>
      <w:r>
        <w:rPr>
          <w:spacing w:val="-2"/>
        </w:rPr>
        <w:t xml:space="preserve"> </w:t>
      </w:r>
      <w:r>
        <w:t>disabled</w:t>
      </w:r>
      <w:r>
        <w:rPr>
          <w:spacing w:val="-1"/>
        </w:rPr>
        <w:t xml:space="preserve"> </w:t>
      </w:r>
      <w:r>
        <w:t>people</w:t>
      </w:r>
      <w:r>
        <w:rPr>
          <w:vertAlign w:val="superscript"/>
        </w:rPr>
        <w:t>74</w:t>
      </w:r>
      <w:r>
        <w:t>.</w:t>
      </w:r>
    </w:p>
    <w:p w14:paraId="011B7354" w14:textId="77777777" w:rsidR="002A14F8" w:rsidRDefault="003458B8">
      <w:pPr>
        <w:pStyle w:val="BodyText"/>
        <w:spacing w:before="164" w:line="259" w:lineRule="auto"/>
        <w:ind w:left="540" w:right="621"/>
      </w:pPr>
      <w:r>
        <w:t>Moreover, inclusion and participation require accessibility of information. Disabled people also need</w:t>
      </w:r>
      <w:r>
        <w:rPr>
          <w:spacing w:val="-52"/>
        </w:rPr>
        <w:t xml:space="preserve"> </w:t>
      </w:r>
      <w:r>
        <w:t>access 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ability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share</w:t>
      </w:r>
      <w:r>
        <w:rPr>
          <w:spacing w:val="-1"/>
        </w:rPr>
        <w:t xml:space="preserve"> </w:t>
      </w:r>
      <w:r>
        <w:t>information and</w:t>
      </w:r>
      <w:r>
        <w:rPr>
          <w:spacing w:val="-1"/>
        </w:rPr>
        <w:t xml:space="preserve"> </w:t>
      </w:r>
      <w:r>
        <w:t>without</w:t>
      </w:r>
      <w:r>
        <w:rPr>
          <w:spacing w:val="-3"/>
        </w:rPr>
        <w:t xml:space="preserve"> </w:t>
      </w:r>
      <w:r>
        <w:t>it are unable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participate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society</w:t>
      </w:r>
      <w:r>
        <w:rPr>
          <w:vertAlign w:val="superscript"/>
        </w:rPr>
        <w:t>75</w:t>
      </w:r>
      <w:r>
        <w:t>.</w:t>
      </w:r>
    </w:p>
    <w:p w14:paraId="1524011C" w14:textId="77777777" w:rsidR="002A14F8" w:rsidRDefault="003458B8">
      <w:pPr>
        <w:pStyle w:val="BodyText"/>
        <w:spacing w:before="1" w:line="259" w:lineRule="auto"/>
        <w:ind w:left="540" w:right="908"/>
      </w:pPr>
      <w:r>
        <w:t>Limitations in or non-provision of information in acces</w:t>
      </w:r>
      <w:r>
        <w:t>sible and understandable means generates</w:t>
      </w:r>
      <w:r>
        <w:rPr>
          <w:spacing w:val="1"/>
        </w:rPr>
        <w:t xml:space="preserve"> </w:t>
      </w:r>
      <w:r>
        <w:t>barriers for disabled people</w:t>
      </w:r>
      <w:r>
        <w:rPr>
          <w:vertAlign w:val="superscript"/>
        </w:rPr>
        <w:t>75</w:t>
      </w:r>
      <w:r>
        <w:t>. Furthermore, the right to vote and the broader right to participate in</w:t>
      </w:r>
      <w:r>
        <w:rPr>
          <w:spacing w:val="-52"/>
        </w:rPr>
        <w:t xml:space="preserve"> </w:t>
      </w:r>
      <w:r>
        <w:t>political and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life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integral</w:t>
      </w:r>
      <w:r>
        <w:rPr>
          <w:spacing w:val="-2"/>
        </w:rPr>
        <w:t xml:space="preserve"> </w:t>
      </w:r>
      <w:r>
        <w:t>to a</w:t>
      </w:r>
      <w:r>
        <w:rPr>
          <w:spacing w:val="-2"/>
        </w:rPr>
        <w:t xml:space="preserve"> </w:t>
      </w:r>
      <w:r>
        <w:t>functioning</w:t>
      </w:r>
      <w:r>
        <w:rPr>
          <w:spacing w:val="-3"/>
        </w:rPr>
        <w:t xml:space="preserve"> </w:t>
      </w:r>
      <w:r>
        <w:t>democracy</w:t>
      </w:r>
      <w:r>
        <w:rPr>
          <w:spacing w:val="-3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disabled people</w:t>
      </w:r>
      <w:r>
        <w:rPr>
          <w:vertAlign w:val="superscript"/>
        </w:rPr>
        <w:t>76</w:t>
      </w:r>
      <w:r>
        <w:t>.</w:t>
      </w:r>
    </w:p>
    <w:p w14:paraId="214B4D5E" w14:textId="77777777" w:rsidR="002A14F8" w:rsidRDefault="003458B8">
      <w:pPr>
        <w:pStyle w:val="BodyText"/>
        <w:spacing w:line="256" w:lineRule="auto"/>
        <w:ind w:left="540" w:right="669"/>
      </w:pPr>
      <w:r>
        <w:t>Disabled peop</w:t>
      </w:r>
      <w:r>
        <w:t>le encounter barriers to exercising their rights to vote and participating politically</w:t>
      </w:r>
      <w:r>
        <w:rPr>
          <w:spacing w:val="1"/>
        </w:rPr>
        <w:t xml:space="preserve"> </w:t>
      </w:r>
      <w:r>
        <w:t>including inaccessible information and voting papers, limited voting methods, and a lack of physical</w:t>
      </w:r>
      <w:r>
        <w:rPr>
          <w:spacing w:val="-52"/>
        </w:rPr>
        <w:t xml:space="preserve"> </w:t>
      </w:r>
      <w:r>
        <w:t>facilities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enable engagement</w:t>
      </w:r>
      <w:r>
        <w:rPr>
          <w:spacing w:val="1"/>
        </w:rPr>
        <w:t xml:space="preserve"> </w:t>
      </w:r>
      <w:r>
        <w:t>with politicians</w:t>
      </w:r>
      <w:r>
        <w:rPr>
          <w:vertAlign w:val="superscript"/>
        </w:rPr>
        <w:t>76</w:t>
      </w:r>
      <w:r>
        <w:t>.</w:t>
      </w:r>
    </w:p>
    <w:p w14:paraId="60E3C4FC" w14:textId="77777777" w:rsidR="002A14F8" w:rsidRDefault="003458B8">
      <w:pPr>
        <w:pStyle w:val="BodyText"/>
        <w:spacing w:before="166" w:line="259" w:lineRule="auto"/>
        <w:ind w:left="540" w:right="621"/>
      </w:pPr>
      <w:r>
        <w:t>Another place of exlusion for disabled people are social activities and employment. This exclusion</w:t>
      </w:r>
      <w:r>
        <w:rPr>
          <w:spacing w:val="1"/>
        </w:rPr>
        <w:t xml:space="preserve"> </w:t>
      </w:r>
      <w:r>
        <w:t>often relates to difficulties in being as active as non-disabled people</w:t>
      </w:r>
      <w:r>
        <w:rPr>
          <w:vertAlign w:val="superscript"/>
        </w:rPr>
        <w:t>77</w:t>
      </w:r>
      <w:r>
        <w:t>. More importantly, the barriers</w:t>
      </w:r>
      <w:r>
        <w:rPr>
          <w:spacing w:val="-52"/>
        </w:rPr>
        <w:t xml:space="preserve"> </w:t>
      </w:r>
      <w:r>
        <w:t>to employment are not only</w:t>
      </w:r>
      <w:r>
        <w:rPr>
          <w:spacing w:val="1"/>
        </w:rPr>
        <w:t xml:space="preserve"> </w:t>
      </w:r>
      <w:r>
        <w:t>barriers to participatio</w:t>
      </w:r>
      <w:r>
        <w:t>n and the ability to earn an income, but also relate</w:t>
      </w:r>
      <w:r>
        <w:rPr>
          <w:spacing w:val="-5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living</w:t>
      </w:r>
      <w:r>
        <w:rPr>
          <w:spacing w:val="-2"/>
        </w:rPr>
        <w:t xml:space="preserve"> </w:t>
      </w:r>
      <w:r>
        <w:t>valued lives</w:t>
      </w:r>
      <w:r>
        <w:rPr>
          <w:vertAlign w:val="superscript"/>
        </w:rPr>
        <w:t>78</w:t>
      </w:r>
      <w:r>
        <w:t>.</w:t>
      </w:r>
    </w:p>
    <w:p w14:paraId="1D08D1BA" w14:textId="77777777" w:rsidR="002A14F8" w:rsidRDefault="003458B8">
      <w:pPr>
        <w:pStyle w:val="BodyText"/>
        <w:spacing w:before="160" w:line="259" w:lineRule="auto"/>
        <w:ind w:left="540" w:right="529"/>
      </w:pPr>
      <w:r>
        <w:t>Disabled people face barriers during the period of school education from pre-school to tertiary levels.</w:t>
      </w:r>
      <w:r>
        <w:rPr>
          <w:spacing w:val="1"/>
        </w:rPr>
        <w:t xml:space="preserve"> </w:t>
      </w:r>
      <w:r>
        <w:t>In one study, for example, 15% of high school students reported living wi</w:t>
      </w:r>
      <w:r>
        <w:t>th a disabling health</w:t>
      </w:r>
      <w:r>
        <w:rPr>
          <w:spacing w:val="1"/>
        </w:rPr>
        <w:t xml:space="preserve"> </w:t>
      </w:r>
      <w:r>
        <w:t>condition</w:t>
      </w:r>
      <w:r>
        <w:rPr>
          <w:vertAlign w:val="superscript"/>
        </w:rPr>
        <w:t>71</w:t>
      </w:r>
      <w:r>
        <w:t>. Education is changing theory and practice but not language where use of ‘deficit’ is still</w:t>
      </w:r>
      <w:r>
        <w:rPr>
          <w:spacing w:val="1"/>
        </w:rPr>
        <w:t xml:space="preserve"> </w:t>
      </w:r>
      <w:r>
        <w:t xml:space="preserve">common such as “special education, disability, dysfunction, disorder” </w:t>
      </w:r>
      <w:r>
        <w:rPr>
          <w:vertAlign w:val="superscript"/>
        </w:rPr>
        <w:t>79</w:t>
      </w:r>
      <w:r>
        <w:t>. Ina a small high school, they</w:t>
      </w:r>
      <w:r>
        <w:rPr>
          <w:spacing w:val="-5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created</w:t>
      </w:r>
      <w:r>
        <w:rPr>
          <w:spacing w:val="-3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environmen</w:t>
      </w:r>
      <w:r>
        <w:t>t truly</w:t>
      </w:r>
      <w:r>
        <w:rPr>
          <w:spacing w:val="-4"/>
        </w:rPr>
        <w:t xml:space="preserve"> </w:t>
      </w:r>
      <w:r>
        <w:t>inclusive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ability, ethnicity,</w:t>
      </w:r>
      <w:r>
        <w:rPr>
          <w:spacing w:val="-1"/>
        </w:rPr>
        <w:t xml:space="preserve"> </w:t>
      </w:r>
      <w:r>
        <w:t>culture,</w:t>
      </w:r>
      <w:r>
        <w:rPr>
          <w:spacing w:val="-1"/>
        </w:rPr>
        <w:t xml:space="preserve"> </w:t>
      </w:r>
      <w:r>
        <w:t>gender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language</w:t>
      </w:r>
      <w:r>
        <w:rPr>
          <w:vertAlign w:val="superscript"/>
        </w:rPr>
        <w:t>79</w:t>
      </w:r>
      <w:r>
        <w:t>.</w:t>
      </w:r>
    </w:p>
    <w:p w14:paraId="76628404" w14:textId="77777777" w:rsidR="002A14F8" w:rsidRDefault="003458B8">
      <w:pPr>
        <w:pStyle w:val="BodyText"/>
        <w:spacing w:line="259" w:lineRule="auto"/>
        <w:ind w:left="540" w:right="590"/>
      </w:pPr>
      <w:r>
        <w:t>Moreover, transitioning to tertiary education are a challenge for disabled people. During the critical</w:t>
      </w:r>
      <w:r>
        <w:rPr>
          <w:spacing w:val="1"/>
        </w:rPr>
        <w:t xml:space="preserve"> </w:t>
      </w:r>
      <w:r>
        <w:t>change in life period, students with disabilities not only have to learn the ski</w:t>
      </w:r>
      <w:r>
        <w:t>lls for independent</w:t>
      </w:r>
      <w:r>
        <w:rPr>
          <w:spacing w:val="1"/>
        </w:rPr>
        <w:t xml:space="preserve"> </w:t>
      </w:r>
      <w:r>
        <w:t>learning but also face the lack of personalised support they used to receive in high school</w:t>
      </w:r>
      <w:r>
        <w:rPr>
          <w:vertAlign w:val="superscript"/>
        </w:rPr>
        <w:t>80</w:t>
      </w:r>
      <w:r>
        <w:t>. Social</w:t>
      </w:r>
      <w:r>
        <w:rPr>
          <w:spacing w:val="1"/>
        </w:rPr>
        <w:t xml:space="preserve"> </w:t>
      </w:r>
      <w:r>
        <w:t>media and mobile devices are critical tools to learn, study, collaborate and work together on and off</w:t>
      </w:r>
      <w:r>
        <w:rPr>
          <w:spacing w:val="1"/>
        </w:rPr>
        <w:t xml:space="preserve"> </w:t>
      </w:r>
      <w:r>
        <w:t>campus or when they used these t</w:t>
      </w:r>
      <w:r>
        <w:t>ools to facilitate communication, and build and maintain</w:t>
      </w:r>
      <w:r>
        <w:rPr>
          <w:spacing w:val="1"/>
        </w:rPr>
        <w:t xml:space="preserve"> </w:t>
      </w:r>
      <w:r>
        <w:t>connections, support, and trust with their new peers and old friends</w:t>
      </w:r>
      <w:r>
        <w:rPr>
          <w:vertAlign w:val="superscript"/>
        </w:rPr>
        <w:t>80</w:t>
      </w:r>
      <w:r>
        <w:t>. These tools enable disabled</w:t>
      </w:r>
      <w:r>
        <w:rPr>
          <w:spacing w:val="1"/>
        </w:rPr>
        <w:t xml:space="preserve"> </w:t>
      </w:r>
      <w:r>
        <w:t xml:space="preserve">people to manage support of their friends and peers, both with or without impairments, rather than </w:t>
      </w:r>
      <w:r>
        <w:t>on</w:t>
      </w:r>
      <w:r>
        <w:rPr>
          <w:spacing w:val="-5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own</w:t>
      </w:r>
      <w:r>
        <w:rPr>
          <w:vertAlign w:val="superscript"/>
        </w:rPr>
        <w:t>80</w:t>
      </w:r>
      <w:r>
        <w:t>.</w:t>
      </w:r>
    </w:p>
    <w:p w14:paraId="3C6F772D" w14:textId="77777777" w:rsidR="002A14F8" w:rsidRDefault="003458B8">
      <w:pPr>
        <w:pStyle w:val="BodyText"/>
        <w:spacing w:before="157" w:line="259" w:lineRule="auto"/>
        <w:ind w:left="540" w:right="528"/>
      </w:pPr>
      <w:r>
        <w:t>Māori directly or indirectly experience disability at a higher rate than any other population group in</w:t>
      </w:r>
      <w:r>
        <w:rPr>
          <w:spacing w:val="1"/>
        </w:rPr>
        <w:t xml:space="preserve"> </w:t>
      </w:r>
      <w:r>
        <w:t>Aotearoa New Zealand</w:t>
      </w:r>
      <w:r>
        <w:rPr>
          <w:vertAlign w:val="superscript"/>
        </w:rPr>
        <w:t>81</w:t>
      </w:r>
      <w:r>
        <w:t>. Māori face barriers to access support and health and disability services</w:t>
      </w:r>
      <w:r>
        <w:rPr>
          <w:vertAlign w:val="superscript"/>
        </w:rPr>
        <w:t>81</w:t>
      </w:r>
      <w:r>
        <w:t>.</w:t>
      </w:r>
      <w:r>
        <w:rPr>
          <w:spacing w:val="1"/>
        </w:rPr>
        <w:t xml:space="preserve"> </w:t>
      </w:r>
      <w:r>
        <w:t>Despite having had access to health a</w:t>
      </w:r>
      <w:r>
        <w:t>nd rehabilitation services, injured Māori experience considerable</w:t>
      </w:r>
      <w:r>
        <w:rPr>
          <w:spacing w:val="-52"/>
        </w:rPr>
        <w:t xml:space="preserve"> </w:t>
      </w:r>
      <w:r>
        <w:t>long‐term disability after injury</w:t>
      </w:r>
      <w:r>
        <w:rPr>
          <w:vertAlign w:val="superscript"/>
        </w:rPr>
        <w:t>82</w:t>
      </w:r>
      <w:r>
        <w:t>. A part of the barrier is the model of working with disabled persons</w:t>
      </w:r>
      <w:r>
        <w:rPr>
          <w:spacing w:val="1"/>
        </w:rPr>
        <w:t xml:space="preserve"> </w:t>
      </w:r>
      <w:r>
        <w:t>that differs form many Indigenous disabled persons whose worldview is holistic, relational and</w:t>
      </w:r>
      <w:r>
        <w:rPr>
          <w:spacing w:val="1"/>
        </w:rPr>
        <w:t xml:space="preserve"> </w:t>
      </w:r>
      <w:r>
        <w:t>collective</w:t>
      </w:r>
      <w:r>
        <w:rPr>
          <w:spacing w:val="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nature</w:t>
      </w:r>
      <w:r>
        <w:rPr>
          <w:vertAlign w:val="superscript"/>
        </w:rPr>
        <w:t>81</w:t>
      </w:r>
      <w:r>
        <w:t>.</w:t>
      </w:r>
      <w:r>
        <w:rPr>
          <w:spacing w:val="-1"/>
        </w:rPr>
        <w:t xml:space="preserve"> </w:t>
      </w:r>
      <w:r>
        <w:t>There is</w:t>
      </w:r>
      <w:r>
        <w:rPr>
          <w:spacing w:val="2"/>
        </w:rPr>
        <w:t xml:space="preserve"> </w:t>
      </w:r>
      <w:r>
        <w:t>a need</w:t>
      </w:r>
      <w:r>
        <w:rPr>
          <w:spacing w:val="-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a Mātauranga</w:t>
      </w:r>
      <w:r>
        <w:rPr>
          <w:spacing w:val="2"/>
        </w:rPr>
        <w:t xml:space="preserve"> </w:t>
      </w:r>
      <w:r>
        <w:t>Māori</w:t>
      </w:r>
      <w:r>
        <w:rPr>
          <w:spacing w:val="3"/>
        </w:rPr>
        <w:t xml:space="preserve"> </w:t>
      </w:r>
      <w:r>
        <w:t>approach</w:t>
      </w:r>
      <w:r>
        <w:rPr>
          <w:spacing w:val="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disability</w:t>
      </w:r>
      <w:r>
        <w:rPr>
          <w:vertAlign w:val="superscript"/>
        </w:rPr>
        <w:t>81</w:t>
      </w:r>
      <w:r>
        <w:t>.</w:t>
      </w:r>
      <w:r>
        <w:rPr>
          <w:spacing w:val="4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will</w:t>
      </w:r>
      <w:r>
        <w:rPr>
          <w:spacing w:val="3"/>
        </w:rPr>
        <w:t xml:space="preserve"> </w:t>
      </w:r>
      <w:r>
        <w:t>contain</w:t>
      </w:r>
      <w:r>
        <w:rPr>
          <w:spacing w:val="1"/>
        </w:rPr>
        <w:t xml:space="preserve"> </w:t>
      </w:r>
      <w:r>
        <w:t>a clearly defined set of values and principles that appr</w:t>
      </w:r>
      <w:r>
        <w:t>opriately reflects the diversity of cultures and</w:t>
      </w:r>
      <w:r>
        <w:rPr>
          <w:spacing w:val="1"/>
        </w:rPr>
        <w:t xml:space="preserve"> </w:t>
      </w:r>
      <w:r>
        <w:t>Māori as</w:t>
      </w:r>
      <w:r>
        <w:rPr>
          <w:spacing w:val="-1"/>
        </w:rPr>
        <w:t xml:space="preserve"> </w:t>
      </w:r>
      <w:r>
        <w:t>tangata</w:t>
      </w:r>
      <w:r>
        <w:rPr>
          <w:spacing w:val="-1"/>
        </w:rPr>
        <w:t xml:space="preserve"> </w:t>
      </w:r>
      <w:r>
        <w:t>whenua should</w:t>
      </w:r>
      <w:r>
        <w:rPr>
          <w:spacing w:val="-1"/>
        </w:rPr>
        <w:t xml:space="preserve"> </w:t>
      </w:r>
      <w:r>
        <w:t>guide</w:t>
      </w:r>
      <w:r>
        <w:rPr>
          <w:spacing w:val="-3"/>
        </w:rPr>
        <w:t xml:space="preserve"> </w:t>
      </w:r>
      <w:r>
        <w:t>the behaviours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operation 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entire</w:t>
      </w:r>
      <w:r>
        <w:rPr>
          <w:spacing w:val="-2"/>
        </w:rPr>
        <w:t xml:space="preserve"> </w:t>
      </w:r>
      <w:r>
        <w:t>system</w:t>
      </w:r>
      <w:r>
        <w:rPr>
          <w:vertAlign w:val="superscript"/>
        </w:rPr>
        <w:t>68</w:t>
      </w:r>
      <w:r>
        <w:t>.</w:t>
      </w:r>
    </w:p>
    <w:p w14:paraId="1B3BDE94" w14:textId="77777777" w:rsidR="002A14F8" w:rsidRDefault="003458B8">
      <w:pPr>
        <w:pStyle w:val="BodyText"/>
        <w:spacing w:line="259" w:lineRule="auto"/>
        <w:ind w:left="540" w:right="547"/>
      </w:pPr>
      <w:r>
        <w:t>Furthermore, in a Samoan study, there was a cultural issues where disability was associated with ma’i</w:t>
      </w:r>
      <w:r>
        <w:rPr>
          <w:spacing w:val="-52"/>
        </w:rPr>
        <w:t xml:space="preserve"> </w:t>
      </w:r>
      <w:r>
        <w:t>(sick) or malaia (curse) and consequently not really a whole person and destined for a life of hardship</w:t>
      </w:r>
      <w:r>
        <w:rPr>
          <w:spacing w:val="-52"/>
        </w:rPr>
        <w:t xml:space="preserve"> </w:t>
      </w:r>
      <w:r>
        <w:t>and unhappiness</w:t>
      </w:r>
      <w:r>
        <w:rPr>
          <w:vertAlign w:val="superscript"/>
        </w:rPr>
        <w:t>69</w:t>
      </w:r>
      <w:r>
        <w:t>. Cultural awareness and competen</w:t>
      </w:r>
      <w:r>
        <w:t>cy is central to working with disabled people</w:t>
      </w:r>
      <w:r>
        <w:rPr>
          <w:spacing w:val="1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cultures.</w:t>
      </w:r>
    </w:p>
    <w:p w14:paraId="62D69673" w14:textId="77777777" w:rsidR="002A14F8" w:rsidRDefault="003458B8">
      <w:pPr>
        <w:pStyle w:val="BodyText"/>
        <w:spacing w:before="159" w:line="259" w:lineRule="auto"/>
        <w:ind w:left="540" w:right="633"/>
      </w:pPr>
      <w:r>
        <w:t>A fully inclusive society recognises and values disabled people as equal participants. Their needs are</w:t>
      </w:r>
      <w:r>
        <w:rPr>
          <w:spacing w:val="-52"/>
        </w:rPr>
        <w:t xml:space="preserve"> </w:t>
      </w:r>
      <w:r>
        <w:t>understood as integral to the social and economic order and are not identified as “spe</w:t>
      </w:r>
      <w:r>
        <w:t>cial”</w:t>
      </w:r>
      <w:r>
        <w:rPr>
          <w:vertAlign w:val="superscript"/>
        </w:rPr>
        <w:t>73</w:t>
      </w:r>
      <w:r>
        <w:t>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concept of ‘embodied belonging’ is used to show that bodies, things, place and space intersect in</w:t>
      </w:r>
      <w:r>
        <w:rPr>
          <w:spacing w:val="1"/>
        </w:rPr>
        <w:t xml:space="preserve"> </w:t>
      </w:r>
      <w:r>
        <w:t>complex ways to produce contradictory feeling of (not)belonging in ‘disability spaces’</w:t>
      </w:r>
      <w:r>
        <w:rPr>
          <w:vertAlign w:val="superscript"/>
        </w:rPr>
        <w:t>83</w:t>
      </w:r>
      <w:r>
        <w:t>. Disability</w:t>
      </w:r>
      <w:r>
        <w:rPr>
          <w:spacing w:val="1"/>
        </w:rPr>
        <w:t xml:space="preserve"> </w:t>
      </w:r>
      <w:r>
        <w:t>spaces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offer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direct</w:t>
      </w:r>
      <w:r>
        <w:rPr>
          <w:spacing w:val="-3"/>
        </w:rPr>
        <w:t xml:space="preserve"> </w:t>
      </w:r>
      <w:r>
        <w:t>challenge</w:t>
      </w:r>
      <w:r>
        <w:rPr>
          <w:spacing w:val="-1"/>
        </w:rPr>
        <w:t xml:space="preserve"> </w:t>
      </w:r>
      <w:r>
        <w:t>to ableism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create</w:t>
      </w:r>
      <w:r>
        <w:rPr>
          <w:spacing w:val="-1"/>
        </w:rPr>
        <w:t xml:space="preserve"> </w:t>
      </w:r>
      <w:r>
        <w:t>feelings</w:t>
      </w:r>
      <w:r>
        <w:rPr>
          <w:spacing w:val="-1"/>
        </w:rPr>
        <w:t xml:space="preserve"> </w:t>
      </w:r>
      <w:r>
        <w:t>of belonging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disabled</w:t>
      </w:r>
      <w:r>
        <w:rPr>
          <w:spacing w:val="-3"/>
        </w:rPr>
        <w:t xml:space="preserve"> </w:t>
      </w:r>
      <w:r>
        <w:t>people.</w:t>
      </w:r>
    </w:p>
    <w:p w14:paraId="5D56ACF1" w14:textId="77777777" w:rsidR="002A14F8" w:rsidRDefault="003458B8">
      <w:pPr>
        <w:pStyle w:val="BodyText"/>
        <w:spacing w:line="259" w:lineRule="auto"/>
        <w:ind w:left="540" w:right="810"/>
      </w:pPr>
      <w:r>
        <w:t>They can also, however, reinforce normative identities</w:t>
      </w:r>
      <w:r>
        <w:t xml:space="preserve"> and ideologies within and beyond disability</w:t>
      </w:r>
      <w:r>
        <w:rPr>
          <w:spacing w:val="-52"/>
        </w:rPr>
        <w:t xml:space="preserve"> </w:t>
      </w:r>
      <w:r>
        <w:t>spaces</w:t>
      </w:r>
      <w:r>
        <w:rPr>
          <w:vertAlign w:val="superscript"/>
        </w:rPr>
        <w:t>83</w:t>
      </w:r>
      <w:r>
        <w:t>. A focus on lived, felt and spatial elements of belonging to and in disability spaces can</w:t>
      </w:r>
      <w:r>
        <w:rPr>
          <w:spacing w:val="1"/>
        </w:rPr>
        <w:t xml:space="preserve"> </w:t>
      </w:r>
      <w:r>
        <w:t>deepen</w:t>
      </w:r>
      <w:r>
        <w:rPr>
          <w:spacing w:val="-3"/>
        </w:rPr>
        <w:t xml:space="preserve"> </w:t>
      </w:r>
      <w:r>
        <w:t>understandings of</w:t>
      </w:r>
      <w:r>
        <w:rPr>
          <w:spacing w:val="-2"/>
        </w:rPr>
        <w:t xml:space="preserve"> </w:t>
      </w:r>
      <w:r>
        <w:t>what</w:t>
      </w:r>
      <w:r>
        <w:rPr>
          <w:spacing w:val="1"/>
        </w:rPr>
        <w:t xml:space="preserve"> </w:t>
      </w:r>
      <w:r>
        <w:t>it means for disabled</w:t>
      </w:r>
      <w:r>
        <w:rPr>
          <w:spacing w:val="-3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feel</w:t>
      </w:r>
      <w:r>
        <w:rPr>
          <w:spacing w:val="-2"/>
        </w:rPr>
        <w:t xml:space="preserve"> </w:t>
      </w:r>
      <w:r>
        <w:t>in and</w:t>
      </w:r>
      <w:r>
        <w:rPr>
          <w:spacing w:val="-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place</w:t>
      </w:r>
      <w:r>
        <w:rPr>
          <w:vertAlign w:val="superscript"/>
        </w:rPr>
        <w:t>83</w:t>
      </w:r>
      <w:r>
        <w:t>.</w:t>
      </w:r>
    </w:p>
    <w:p w14:paraId="61357A5B" w14:textId="77777777" w:rsidR="002A14F8" w:rsidRDefault="002A14F8">
      <w:pPr>
        <w:spacing w:line="259" w:lineRule="auto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5BA3E8F9" w14:textId="77777777" w:rsidR="002A14F8" w:rsidRDefault="003458B8">
      <w:pPr>
        <w:pStyle w:val="BodyText"/>
        <w:spacing w:before="78" w:line="259" w:lineRule="auto"/>
        <w:ind w:left="540" w:right="529"/>
      </w:pPr>
      <w:bookmarkStart w:id="4" w:name="_bookmark4"/>
      <w:bookmarkEnd w:id="4"/>
      <w:r>
        <w:lastRenderedPageBreak/>
        <w:t>Ther</w:t>
      </w:r>
      <w:r>
        <w:t>e is a need to consider and focus on the disabled community and in particular for those that are</w:t>
      </w:r>
      <w:r>
        <w:rPr>
          <w:spacing w:val="1"/>
        </w:rPr>
        <w:t xml:space="preserve"> </w:t>
      </w:r>
      <w:r>
        <w:t>more common with ageing, such as mobility and agility impairments</w:t>
      </w:r>
      <w:r>
        <w:rPr>
          <w:vertAlign w:val="superscript"/>
        </w:rPr>
        <w:t>84</w:t>
      </w:r>
      <w:r>
        <w:t>. However, there is a lack of</w:t>
      </w:r>
      <w:r>
        <w:rPr>
          <w:spacing w:val="1"/>
        </w:rPr>
        <w:t xml:space="preserve"> </w:t>
      </w:r>
      <w:r>
        <w:t>reliable data. But rarely do people with disability fit neatly</w:t>
      </w:r>
      <w:r>
        <w:t xml:space="preserve"> into a single category with clear</w:t>
      </w:r>
      <w:r>
        <w:rPr>
          <w:spacing w:val="1"/>
        </w:rPr>
        <w:t xml:space="preserve"> </w:t>
      </w:r>
      <w:r>
        <w:t>boundaries, and a consideration of the complex qualitative social and cultural issues that are related to</w:t>
      </w:r>
      <w:r>
        <w:rPr>
          <w:spacing w:val="-52"/>
        </w:rPr>
        <w:t xml:space="preserve"> </w:t>
      </w:r>
      <w:r>
        <w:t>these quantitative measures is required</w:t>
      </w:r>
      <w:r>
        <w:rPr>
          <w:vertAlign w:val="superscript"/>
        </w:rPr>
        <w:t>84</w:t>
      </w:r>
      <w:r>
        <w:t>. Such data is central to the greater accuracy, clarity and</w:t>
      </w:r>
      <w:r>
        <w:rPr>
          <w:spacing w:val="1"/>
        </w:rPr>
        <w:t xml:space="preserve"> </w:t>
      </w:r>
      <w:r>
        <w:t>consistency be</w:t>
      </w:r>
      <w:r>
        <w:t>tween the various organisations such as the MOH, the Office for Disability Issues and</w:t>
      </w:r>
      <w:r>
        <w:rPr>
          <w:spacing w:val="1"/>
        </w:rPr>
        <w:t xml:space="preserve"> </w:t>
      </w:r>
      <w:r>
        <w:t>Statistics</w:t>
      </w:r>
      <w:r>
        <w:rPr>
          <w:spacing w:val="-1"/>
        </w:rPr>
        <w:t xml:space="preserve"> </w:t>
      </w:r>
      <w:r>
        <w:t>New Zealand</w:t>
      </w:r>
      <w:r>
        <w:rPr>
          <w:vertAlign w:val="superscript"/>
        </w:rPr>
        <w:t>68</w:t>
      </w:r>
      <w:r>
        <w:t>.</w:t>
      </w:r>
    </w:p>
    <w:p w14:paraId="3A2D7239" w14:textId="77777777" w:rsidR="002A14F8" w:rsidRDefault="003458B8">
      <w:pPr>
        <w:pStyle w:val="BodyText"/>
        <w:spacing w:before="159" w:line="259" w:lineRule="auto"/>
        <w:ind w:left="540" w:right="486"/>
      </w:pPr>
      <w:r>
        <w:t xml:space="preserve">The primary aim of the </w:t>
      </w:r>
      <w:r>
        <w:rPr>
          <w:i/>
        </w:rPr>
        <w:t xml:space="preserve">New Zealand Disability Strategy 2016–2026 </w:t>
      </w:r>
      <w:r>
        <w:t>is to create a non-disabling</w:t>
      </w:r>
      <w:r>
        <w:rPr>
          <w:spacing w:val="1"/>
        </w:rPr>
        <w:t xml:space="preserve"> </w:t>
      </w:r>
      <w:r>
        <w:t>society – “a place where disabled people have an equal opportunity to achieve their goals and</w:t>
      </w:r>
      <w:r>
        <w:rPr>
          <w:spacing w:val="1"/>
        </w:rPr>
        <w:t xml:space="preserve"> </w:t>
      </w:r>
      <w:r>
        <w:t>aspirations, and all of New Zealand works together to make this happen”</w:t>
      </w:r>
      <w:r>
        <w:rPr>
          <w:vertAlign w:val="superscript"/>
        </w:rPr>
        <w:t>85</w:t>
      </w:r>
      <w:r>
        <w:t>. The goal is that the</w:t>
      </w:r>
      <w:r>
        <w:rPr>
          <w:spacing w:val="1"/>
        </w:rPr>
        <w:t xml:space="preserve"> </w:t>
      </w:r>
      <w:r>
        <w:t>disabled community is visible, acknowledged and respected on an eq</w:t>
      </w:r>
      <w:r>
        <w:t>ual basis with others, and that</w:t>
      </w:r>
      <w:r>
        <w:rPr>
          <w:spacing w:val="1"/>
        </w:rPr>
        <w:t xml:space="preserve"> </w:t>
      </w:r>
      <w:r>
        <w:t>disabled people can live a life with dignity and feel valued</w:t>
      </w:r>
      <w:r>
        <w:rPr>
          <w:vertAlign w:val="superscript"/>
        </w:rPr>
        <w:t>73,85</w:t>
      </w:r>
      <w:r>
        <w:t>. Disabled people should be able to live</w:t>
      </w:r>
      <w:r>
        <w:rPr>
          <w:spacing w:val="1"/>
        </w:rPr>
        <w:t xml:space="preserve"> </w:t>
      </w:r>
      <w:r>
        <w:t>valued lives in inclusive communities that recognise and respond to their interdependence and</w:t>
      </w:r>
      <w:r>
        <w:rPr>
          <w:spacing w:val="1"/>
        </w:rPr>
        <w:t xml:space="preserve"> </w:t>
      </w:r>
      <w:r>
        <w:t>diversity and as equal p</w:t>
      </w:r>
      <w:r>
        <w:t>articipants</w:t>
      </w:r>
      <w:r>
        <w:rPr>
          <w:vertAlign w:val="superscript"/>
        </w:rPr>
        <w:t>86</w:t>
      </w:r>
      <w:r>
        <w:t xml:space="preserve">. It must follow the principles and duties of the </w:t>
      </w:r>
      <w:r>
        <w:rPr>
          <w:i/>
        </w:rPr>
        <w:t>Treaty of Waitangi</w:t>
      </w:r>
      <w:r>
        <w:t>,</w:t>
      </w:r>
      <w:r>
        <w:rPr>
          <w:spacing w:val="-52"/>
        </w:rPr>
        <w:t xml:space="preserve"> </w:t>
      </w:r>
      <w:r>
        <w:t xml:space="preserve">and the </w:t>
      </w:r>
      <w:r>
        <w:rPr>
          <w:i/>
        </w:rPr>
        <w:t>Convention on the Rights of Persons with Disabilities</w:t>
      </w:r>
      <w:r>
        <w:t>, to ensure that disabled people are</w:t>
      </w:r>
      <w:r>
        <w:rPr>
          <w:spacing w:val="1"/>
        </w:rPr>
        <w:t xml:space="preserve"> </w:t>
      </w:r>
      <w:r>
        <w:t>involved in decision-making that impacts them – including in partnership wi</w:t>
      </w:r>
      <w:r>
        <w:t>th people with disability,</w:t>
      </w:r>
      <w:r>
        <w:rPr>
          <w:spacing w:val="1"/>
        </w:rPr>
        <w:t xml:space="preserve"> </w:t>
      </w:r>
      <w:r>
        <w:t>families and whānau, communities and service providers</w:t>
      </w:r>
      <w:r>
        <w:rPr>
          <w:vertAlign w:val="superscript"/>
        </w:rPr>
        <w:t>85,86</w:t>
      </w:r>
      <w:r>
        <w:t xml:space="preserve">. The </w:t>
      </w:r>
      <w:r>
        <w:rPr>
          <w:i/>
        </w:rPr>
        <w:t>Disability Action Plan 2019-2023</w:t>
      </w:r>
      <w:r>
        <w:rPr>
          <w:i/>
          <w:spacing w:val="1"/>
        </w:rPr>
        <w:t xml:space="preserve"> </w:t>
      </w:r>
      <w:r>
        <w:t>“presents priority work programmes and actions developed through a co-design process by</w:t>
      </w:r>
      <w:r>
        <w:rPr>
          <w:spacing w:val="1"/>
        </w:rPr>
        <w:t xml:space="preserve"> </w:t>
      </w:r>
      <w:r>
        <w:t>government agencies, disabled</w:t>
      </w:r>
      <w:r>
        <w:rPr>
          <w:spacing w:val="-1"/>
        </w:rPr>
        <w:t xml:space="preserve"> </w:t>
      </w:r>
      <w:r>
        <w:t>people and</w:t>
      </w:r>
      <w:r>
        <w:rPr>
          <w:spacing w:val="-4"/>
        </w:rPr>
        <w:t xml:space="preserve"> </w:t>
      </w:r>
      <w:r>
        <w:t>th</w:t>
      </w:r>
      <w:r>
        <w:t>eir representative</w:t>
      </w:r>
      <w:r>
        <w:rPr>
          <w:spacing w:val="-1"/>
        </w:rPr>
        <w:t xml:space="preserve"> </w:t>
      </w:r>
      <w:r>
        <w:t>organisations”</w:t>
      </w:r>
      <w:r>
        <w:rPr>
          <w:vertAlign w:val="superscript"/>
        </w:rPr>
        <w:t>87</w:t>
      </w:r>
      <w:r>
        <w:t>.</w:t>
      </w:r>
    </w:p>
    <w:p w14:paraId="7C83BF68" w14:textId="77777777" w:rsidR="002A14F8" w:rsidRDefault="002A14F8">
      <w:pPr>
        <w:spacing w:line="259" w:lineRule="auto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6552FCA7" w14:textId="77777777" w:rsidR="002A14F8" w:rsidRDefault="003458B8">
      <w:pPr>
        <w:pStyle w:val="Heading1"/>
      </w:pPr>
      <w:r>
        <w:lastRenderedPageBreak/>
        <w:t>Older</w:t>
      </w:r>
      <w:r>
        <w:rPr>
          <w:spacing w:val="-1"/>
        </w:rPr>
        <w:t xml:space="preserve"> </w:t>
      </w:r>
      <w:r>
        <w:t>people</w:t>
      </w:r>
    </w:p>
    <w:p w14:paraId="3BB386E2" w14:textId="77777777" w:rsidR="002A14F8" w:rsidRDefault="003458B8">
      <w:pPr>
        <w:pStyle w:val="BodyText"/>
        <w:spacing w:before="31" w:line="259" w:lineRule="auto"/>
        <w:ind w:left="540" w:right="550"/>
      </w:pPr>
      <w:r>
        <w:t>The older people are a growing group in our community. The changing demographics in NZ indicate</w:t>
      </w:r>
      <w:r>
        <w:rPr>
          <w:spacing w:val="1"/>
        </w:rPr>
        <w:t xml:space="preserve"> </w:t>
      </w:r>
      <w:r>
        <w:t>a growth of the older people population due to low birth rates, medical and technological</w:t>
      </w:r>
      <w:r>
        <w:rPr>
          <w:spacing w:val="1"/>
        </w:rPr>
        <w:t xml:space="preserve"> </w:t>
      </w:r>
      <w:r>
        <w:t>im</w:t>
      </w:r>
      <w:r>
        <w:t>provements and the ageing of the baby boomers</w:t>
      </w:r>
      <w:r>
        <w:rPr>
          <w:vertAlign w:val="superscript"/>
        </w:rPr>
        <w:t>88,89</w:t>
      </w:r>
      <w:r>
        <w:t>. They include people of a wide age group from</w:t>
      </w:r>
      <w:r>
        <w:rPr>
          <w:spacing w:val="-52"/>
        </w:rPr>
        <w:t xml:space="preserve"> </w:t>
      </w:r>
      <w:r>
        <w:t>65 years and older. As the population lives longer, the number of people living to 100 and beyond are</w:t>
      </w:r>
      <w:r>
        <w:rPr>
          <w:spacing w:val="-52"/>
        </w:rPr>
        <w:t xml:space="preserve"> </w:t>
      </w:r>
      <w:r>
        <w:t>increasing. The needs of such a group is diverse while at</w:t>
      </w:r>
      <w:r>
        <w:t xml:space="preserve"> the same time may also interconnect with</w:t>
      </w:r>
      <w:r>
        <w:rPr>
          <w:spacing w:val="1"/>
        </w:rPr>
        <w:t xml:space="preserve"> </w:t>
      </w:r>
      <w:r>
        <w:t>some of the other groupings of this review. Though the numbers of older people is increasing, the</w:t>
      </w:r>
      <w:r>
        <w:rPr>
          <w:spacing w:val="1"/>
        </w:rPr>
        <w:t xml:space="preserve"> </w:t>
      </w:r>
      <w:r>
        <w:t>population</w:t>
      </w:r>
      <w:r>
        <w:rPr>
          <w:spacing w:val="-1"/>
        </w:rPr>
        <w:t xml:space="preserve"> </w:t>
      </w:r>
      <w:r>
        <w:t>is also more</w:t>
      </w:r>
      <w:r>
        <w:rPr>
          <w:spacing w:val="-1"/>
        </w:rPr>
        <w:t xml:space="preserve"> </w:t>
      </w:r>
      <w:r>
        <w:t>educated and</w:t>
      </w:r>
      <w:r>
        <w:rPr>
          <w:spacing w:val="-2"/>
        </w:rPr>
        <w:t xml:space="preserve"> </w:t>
      </w:r>
      <w:r>
        <w:t>independent</w:t>
      </w:r>
      <w:r>
        <w:rPr>
          <w:spacing w:val="-3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in previous</w:t>
      </w:r>
      <w:r>
        <w:rPr>
          <w:spacing w:val="-1"/>
        </w:rPr>
        <w:t xml:space="preserve"> </w:t>
      </w:r>
      <w:r>
        <w:t>generations</w:t>
      </w:r>
      <w:r>
        <w:rPr>
          <w:vertAlign w:val="superscript"/>
        </w:rPr>
        <w:t>89</w:t>
      </w:r>
      <w:r>
        <w:t>.</w:t>
      </w:r>
    </w:p>
    <w:p w14:paraId="714A5B5F" w14:textId="77777777" w:rsidR="002A14F8" w:rsidRDefault="003458B8">
      <w:pPr>
        <w:pStyle w:val="BodyText"/>
        <w:spacing w:before="159" w:line="259" w:lineRule="auto"/>
        <w:ind w:left="540" w:right="506"/>
      </w:pPr>
      <w:r>
        <w:t>There are numerous</w:t>
      </w:r>
      <w:r>
        <w:rPr>
          <w:spacing w:val="2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support</w:t>
      </w:r>
      <w:r>
        <w:rPr>
          <w:spacing w:val="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older</w:t>
      </w:r>
      <w:r>
        <w:rPr>
          <w:spacing w:val="2"/>
        </w:rPr>
        <w:t xml:space="preserve"> </w:t>
      </w:r>
      <w:r>
        <w:t>people</w:t>
      </w:r>
      <w:r>
        <w:rPr>
          <w:spacing w:val="1"/>
        </w:rPr>
        <w:t xml:space="preserve"> </w:t>
      </w:r>
      <w:r>
        <w:t>ranging from</w:t>
      </w:r>
      <w:r>
        <w:rPr>
          <w:spacing w:val="-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dedictated</w:t>
      </w:r>
      <w:r>
        <w:rPr>
          <w:spacing w:val="3"/>
        </w:rPr>
        <w:t xml:space="preserve"> </w:t>
      </w:r>
      <w:r>
        <w:rPr>
          <w:i/>
        </w:rPr>
        <w:t>Office</w:t>
      </w:r>
      <w:r>
        <w:rPr>
          <w:i/>
          <w:spacing w:val="3"/>
        </w:rPr>
        <w:t xml:space="preserve"> </w:t>
      </w:r>
      <w:r>
        <w:rPr>
          <w:i/>
        </w:rPr>
        <w:t>for</w:t>
      </w:r>
      <w:r>
        <w:rPr>
          <w:i/>
          <w:spacing w:val="1"/>
        </w:rPr>
        <w:t xml:space="preserve"> </w:t>
      </w:r>
      <w:r>
        <w:rPr>
          <w:i/>
        </w:rPr>
        <w:t>Seniors Te Tari Kaumātua</w:t>
      </w:r>
      <w:r>
        <w:t>, sectors within government departmetns and minsitries such as the ministry</w:t>
      </w:r>
      <w:r>
        <w:rPr>
          <w:spacing w:val="-5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Health, and also</w:t>
      </w:r>
      <w:r>
        <w:rPr>
          <w:spacing w:val="3"/>
        </w:rPr>
        <w:t xml:space="preserve"> </w:t>
      </w:r>
      <w:r>
        <w:t>non-profit</w:t>
      </w:r>
      <w:r>
        <w:rPr>
          <w:spacing w:val="4"/>
        </w:rPr>
        <w:t xml:space="preserve"> </w:t>
      </w:r>
      <w:r>
        <w:t>organsiations</w:t>
      </w:r>
      <w:r>
        <w:rPr>
          <w:spacing w:val="2"/>
        </w:rPr>
        <w:t xml:space="preserve"> </w:t>
      </w:r>
      <w:r>
        <w:t>providing support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advocacy.</w:t>
      </w:r>
      <w:r>
        <w:rPr>
          <w:spacing w:val="3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key</w:t>
      </w:r>
      <w:r>
        <w:rPr>
          <w:spacing w:val="1"/>
        </w:rPr>
        <w:t xml:space="preserve"> </w:t>
      </w:r>
      <w:r>
        <w:t>advocacy</w:t>
      </w:r>
      <w:r>
        <w:rPr>
          <w:spacing w:val="-3"/>
        </w:rPr>
        <w:t xml:space="preserve"> </w:t>
      </w:r>
      <w:r>
        <w:t>organisations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older people: Age Concern</w:t>
      </w:r>
      <w:r>
        <w:rPr>
          <w:spacing w:val="-4"/>
        </w:rPr>
        <w:t xml:space="preserve"> </w:t>
      </w:r>
      <w:r>
        <w:t>and Grey</w:t>
      </w:r>
      <w:r>
        <w:rPr>
          <w:spacing w:val="-3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(initially</w:t>
      </w:r>
      <w:r>
        <w:rPr>
          <w:spacing w:val="-3"/>
        </w:rPr>
        <w:t xml:space="preserve"> </w:t>
      </w:r>
      <w:r>
        <w:t>Auckland</w:t>
      </w:r>
      <w:r>
        <w:rPr>
          <w:spacing w:val="1"/>
        </w:rPr>
        <w:t xml:space="preserve"> </w:t>
      </w:r>
      <w:r>
        <w:t>Based).</w:t>
      </w:r>
    </w:p>
    <w:p w14:paraId="4CA05275" w14:textId="77777777" w:rsidR="002A14F8" w:rsidRDefault="003458B8">
      <w:pPr>
        <w:pStyle w:val="BodyText"/>
        <w:spacing w:line="259" w:lineRule="auto"/>
        <w:ind w:left="540" w:right="553"/>
      </w:pPr>
      <w:r>
        <w:t>These organisations envisage “an inclusive society where older people are respected, valued,</w:t>
      </w:r>
      <w:r>
        <w:rPr>
          <w:spacing w:val="1"/>
        </w:rPr>
        <w:t xml:space="preserve"> </w:t>
      </w:r>
      <w:r>
        <w:t>supported and empowered”</w:t>
      </w:r>
      <w:r>
        <w:rPr>
          <w:vertAlign w:val="superscript"/>
        </w:rPr>
        <w:t>90</w:t>
      </w:r>
      <w:r>
        <w:t xml:space="preserve">. They are </w:t>
      </w:r>
      <w:r>
        <w:t>the most commonly consulted when issues arise concerning</w:t>
      </w:r>
      <w:r>
        <w:rPr>
          <w:spacing w:val="1"/>
        </w:rPr>
        <w:t xml:space="preserve"> </w:t>
      </w:r>
      <w:r>
        <w:t>the older people and the often make submission regarding bills and regulatory changes proposed by</w:t>
      </w:r>
      <w:r>
        <w:rPr>
          <w:spacing w:val="1"/>
        </w:rPr>
        <w:t xml:space="preserve"> </w:t>
      </w:r>
      <w:r>
        <w:t>the government. The issues that they are advocating for include adequate income, safe and suitable</w:t>
      </w:r>
      <w:r>
        <w:rPr>
          <w:spacing w:val="1"/>
        </w:rPr>
        <w:t xml:space="preserve"> </w:t>
      </w:r>
      <w:r>
        <w:t>housing, satisfying work and healthy activity, opportunities for education and lifelong learning, a safe</w:t>
      </w:r>
      <w:r>
        <w:rPr>
          <w:spacing w:val="-52"/>
        </w:rPr>
        <w:t xml:space="preserve"> </w:t>
      </w:r>
      <w:r>
        <w:t>and enabling environment, access to care and support</w:t>
      </w:r>
      <w:r>
        <w:t>, time for leisure, and positive contact with</w:t>
      </w:r>
      <w:r>
        <w:rPr>
          <w:spacing w:val="1"/>
        </w:rPr>
        <w:t xml:space="preserve"> </w:t>
      </w:r>
      <w:r>
        <w:t>friends,</w:t>
      </w:r>
      <w:r>
        <w:rPr>
          <w:spacing w:val="-1"/>
        </w:rPr>
        <w:t xml:space="preserve"> </w:t>
      </w:r>
      <w:r>
        <w:t>family/whānau and</w:t>
      </w:r>
      <w:r>
        <w:rPr>
          <w:spacing w:val="-2"/>
        </w:rPr>
        <w:t xml:space="preserve"> </w:t>
      </w:r>
      <w:r>
        <w:t>others</w:t>
      </w:r>
      <w:r>
        <w:rPr>
          <w:spacing w:val="-2"/>
        </w:rPr>
        <w:t xml:space="preserve"> </w:t>
      </w:r>
      <w:r>
        <w:t>in our community</w:t>
      </w:r>
      <w:r>
        <w:rPr>
          <w:vertAlign w:val="superscript"/>
        </w:rPr>
        <w:t>90</w:t>
      </w:r>
      <w:r>
        <w:t>.</w:t>
      </w:r>
    </w:p>
    <w:p w14:paraId="3D883197" w14:textId="77777777" w:rsidR="002A14F8" w:rsidRDefault="003458B8">
      <w:pPr>
        <w:pStyle w:val="BodyText"/>
        <w:spacing w:before="158" w:line="259" w:lineRule="auto"/>
        <w:ind w:left="540" w:right="535"/>
      </w:pPr>
      <w:r>
        <w:t>One issue facing the older people is ageism and discrimination. In general, New Zealanders have high</w:t>
      </w:r>
      <w:r>
        <w:rPr>
          <w:spacing w:val="-52"/>
        </w:rPr>
        <w:t xml:space="preserve"> </w:t>
      </w:r>
      <w:r>
        <w:t>levels of respect for seniors and acknowledge the value</w:t>
      </w:r>
      <w:r>
        <w:t xml:space="preserve"> of their contribution to society</w:t>
      </w:r>
      <w:r>
        <w:rPr>
          <w:vertAlign w:val="superscript"/>
        </w:rPr>
        <w:t>91</w:t>
      </w:r>
      <w:r>
        <w:t>. Though this</w:t>
      </w:r>
      <w:r>
        <w:rPr>
          <w:spacing w:val="1"/>
        </w:rPr>
        <w:t xml:space="preserve"> </w:t>
      </w:r>
      <w:r>
        <w:t>is a good point, some older people face significant discrimination. Ageism, a process where society</w:t>
      </w:r>
      <w:r>
        <w:rPr>
          <w:spacing w:val="1"/>
        </w:rPr>
        <w:t xml:space="preserve"> </w:t>
      </w:r>
      <w:r>
        <w:t>discriminates and stereotypes people by virtue of old age. Ageism also reinforces fear and denigration</w:t>
      </w:r>
      <w:r>
        <w:rPr>
          <w:spacing w:val="-52"/>
        </w:rPr>
        <w:t xml:space="preserve"> </w:t>
      </w:r>
      <w:r>
        <w:t>of t</w:t>
      </w:r>
      <w:r>
        <w:t>he ageing process thereby establishing myths and assumptions regarding the ability of older</w:t>
      </w:r>
      <w:r>
        <w:rPr>
          <w:spacing w:val="1"/>
        </w:rPr>
        <w:t xml:space="preserve"> </w:t>
      </w:r>
      <w:r>
        <w:t>people</w:t>
      </w:r>
      <w:r>
        <w:rPr>
          <w:vertAlign w:val="superscript"/>
        </w:rPr>
        <w:t>89</w:t>
      </w:r>
      <w:r>
        <w:t>. They are often perceived as senile, frail, disabled, likely to live in institutions, unable to</w:t>
      </w:r>
      <w:r>
        <w:rPr>
          <w:spacing w:val="1"/>
        </w:rPr>
        <w:t xml:space="preserve"> </w:t>
      </w:r>
      <w:r>
        <w:t>learn new skills, socially withdrawn and dependent</w:t>
      </w:r>
      <w:r>
        <w:rPr>
          <w:vertAlign w:val="superscript"/>
        </w:rPr>
        <w:t>89</w:t>
      </w:r>
      <w:r>
        <w:t>. 26% o</w:t>
      </w:r>
      <w:r>
        <w:t>f Older people face bad treatment or</w:t>
      </w:r>
      <w:r>
        <w:rPr>
          <w:spacing w:val="1"/>
        </w:rPr>
        <w:t xml:space="preserve"> </w:t>
      </w:r>
      <w:r>
        <w:t>discrimination due to their age</w:t>
      </w:r>
      <w:r>
        <w:rPr>
          <w:vertAlign w:val="superscript"/>
        </w:rPr>
        <w:t>91</w:t>
      </w:r>
      <w:r>
        <w:t>. A significant proportion of the respondents indicated that</w:t>
      </w:r>
      <w:r>
        <w:rPr>
          <w:spacing w:val="1"/>
        </w:rPr>
        <w:t xml:space="preserve"> </w:t>
      </w:r>
      <w:r>
        <w:t>experiences</w:t>
      </w:r>
      <w:r>
        <w:rPr>
          <w:spacing w:val="-3"/>
        </w:rPr>
        <w:t xml:space="preserve"> </w:t>
      </w:r>
      <w:r>
        <w:t>of bad treatment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discrimination</w:t>
      </w:r>
      <w:r>
        <w:rPr>
          <w:spacing w:val="-1"/>
        </w:rPr>
        <w:t xml:space="preserve"> </w:t>
      </w:r>
      <w:r>
        <w:t>occurred in</w:t>
      </w:r>
      <w:r>
        <w:rPr>
          <w:spacing w:val="-3"/>
        </w:rPr>
        <w:t xml:space="preserve"> </w:t>
      </w:r>
      <w:r>
        <w:t>the work</w:t>
      </w:r>
      <w:r>
        <w:rPr>
          <w:spacing w:val="-3"/>
        </w:rPr>
        <w:t xml:space="preserve"> </w:t>
      </w:r>
      <w:r>
        <w:t>place</w:t>
      </w:r>
      <w:r>
        <w:rPr>
          <w:vertAlign w:val="superscript"/>
        </w:rPr>
        <w:t>91</w:t>
      </w:r>
      <w:r>
        <w:t>.</w:t>
      </w:r>
    </w:p>
    <w:p w14:paraId="2CE33497" w14:textId="77777777" w:rsidR="002A14F8" w:rsidRDefault="003458B8">
      <w:pPr>
        <w:pStyle w:val="BodyText"/>
        <w:spacing w:before="158" w:line="259" w:lineRule="auto"/>
        <w:ind w:left="540" w:right="522"/>
      </w:pPr>
      <w:r>
        <w:t>Isolation is an increasing issue for the older people. An increasing number of people aged over 60 are</w:t>
      </w:r>
      <w:r>
        <w:rPr>
          <w:spacing w:val="1"/>
        </w:rPr>
        <w:t xml:space="preserve"> </w:t>
      </w:r>
      <w:r>
        <w:t>living in their own home and 80 percent plan to stay there as they age</w:t>
      </w:r>
      <w:r>
        <w:rPr>
          <w:vertAlign w:val="superscript"/>
        </w:rPr>
        <w:t>91</w:t>
      </w:r>
      <w:r>
        <w:t>. However, a growing problem</w:t>
      </w:r>
      <w:r>
        <w:rPr>
          <w:spacing w:val="1"/>
        </w:rPr>
        <w:t xml:space="preserve"> </w:t>
      </w:r>
      <w:r>
        <w:t>is the increasing isolation that many older people a</w:t>
      </w:r>
      <w:r>
        <w:t>re facing</w:t>
      </w:r>
      <w:r>
        <w:rPr>
          <w:vertAlign w:val="superscript"/>
        </w:rPr>
        <w:t>92</w:t>
      </w:r>
      <w:r>
        <w:t>. Many are losing touch with their</w:t>
      </w:r>
      <w:r>
        <w:rPr>
          <w:spacing w:val="1"/>
        </w:rPr>
        <w:t xml:space="preserve"> </w:t>
      </w:r>
      <w:r>
        <w:t>families and communities that were once central to their way of life. There is also concern that</w:t>
      </w:r>
      <w:r>
        <w:rPr>
          <w:spacing w:val="1"/>
        </w:rPr>
        <w:t xml:space="preserve"> </w:t>
      </w:r>
      <w:r>
        <w:t xml:space="preserve">strategies for older people do not meet the needs and aspirations of kaumātua </w:t>
      </w:r>
      <w:r>
        <w:rPr>
          <w:vertAlign w:val="superscript"/>
        </w:rPr>
        <w:t>93</w:t>
      </w:r>
      <w:r>
        <w:t>. Being excluded or</w:t>
      </w:r>
      <w:r>
        <w:rPr>
          <w:spacing w:val="1"/>
        </w:rPr>
        <w:t xml:space="preserve"> </w:t>
      </w:r>
      <w:r>
        <w:t>feeling</w:t>
      </w:r>
      <w:r>
        <w:rPr>
          <w:spacing w:val="-2"/>
        </w:rPr>
        <w:t xml:space="preserve"> </w:t>
      </w:r>
      <w:r>
        <w:t>isola</w:t>
      </w:r>
      <w:r>
        <w:t>ted’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leading</w:t>
      </w:r>
      <w:r>
        <w:rPr>
          <w:spacing w:val="-2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poor</w:t>
      </w:r>
      <w:r>
        <w:rPr>
          <w:spacing w:val="-1"/>
        </w:rPr>
        <w:t xml:space="preserve"> </w:t>
      </w:r>
      <w:r>
        <w:t>treatment</w:t>
      </w:r>
      <w:r>
        <w:rPr>
          <w:vertAlign w:val="superscript"/>
        </w:rPr>
        <w:t>91</w:t>
      </w:r>
      <w:r>
        <w:t>.</w:t>
      </w:r>
      <w:r>
        <w:rPr>
          <w:spacing w:val="1"/>
        </w:rPr>
        <w:t xml:space="preserve"> </w:t>
      </w:r>
      <w:r>
        <w:t>Many</w:t>
      </w:r>
      <w:r>
        <w:rPr>
          <w:spacing w:val="-1"/>
        </w:rPr>
        <w:t xml:space="preserve"> </w:t>
      </w:r>
      <w:r>
        <w:t>older</w:t>
      </w:r>
      <w:r>
        <w:rPr>
          <w:spacing w:val="1"/>
        </w:rPr>
        <w:t xml:space="preserve"> </w:t>
      </w:r>
      <w:r>
        <w:t>people,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one report,</w:t>
      </w:r>
      <w:r>
        <w:rPr>
          <w:spacing w:val="1"/>
        </w:rPr>
        <w:t xml:space="preserve"> </w:t>
      </w:r>
      <w:r>
        <w:t>nearly one</w:t>
      </w:r>
      <w:r>
        <w:rPr>
          <w:spacing w:val="1"/>
        </w:rPr>
        <w:t xml:space="preserve"> </w:t>
      </w:r>
      <w:r>
        <w:t>in three, spend their days alone</w:t>
      </w:r>
      <w:r>
        <w:rPr>
          <w:vertAlign w:val="superscript"/>
        </w:rPr>
        <w:t>94</w:t>
      </w:r>
      <w:r>
        <w:t>.</w:t>
      </w:r>
      <w:r>
        <w:rPr>
          <w:spacing w:val="1"/>
        </w:rPr>
        <w:t xml:space="preserve"> </w:t>
      </w:r>
      <w:r>
        <w:t>While most are doing well but for those towards the pointy end, life</w:t>
      </w:r>
      <w:r>
        <w:rPr>
          <w:spacing w:val="-52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"really</w:t>
      </w:r>
      <w:r>
        <w:rPr>
          <w:spacing w:val="-3"/>
        </w:rPr>
        <w:t xml:space="preserve"> </w:t>
      </w:r>
      <w:r>
        <w:t>miserable"</w:t>
      </w:r>
      <w:r>
        <w:rPr>
          <w:spacing w:val="2"/>
        </w:rPr>
        <w:t xml:space="preserve"> </w:t>
      </w:r>
      <w:r>
        <w:t>– and</w:t>
      </w:r>
      <w:r>
        <w:rPr>
          <w:spacing w:val="-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portion was growing</w:t>
      </w:r>
      <w:r>
        <w:rPr>
          <w:spacing w:val="-4"/>
        </w:rPr>
        <w:t xml:space="preserve"> </w:t>
      </w:r>
      <w:r>
        <w:t>larger</w:t>
      </w:r>
      <w:r>
        <w:rPr>
          <w:vertAlign w:val="superscript"/>
        </w:rPr>
        <w:t>94</w:t>
      </w:r>
      <w:r>
        <w:t>.</w:t>
      </w:r>
    </w:p>
    <w:p w14:paraId="23654A51" w14:textId="77777777" w:rsidR="002A14F8" w:rsidRDefault="003458B8">
      <w:pPr>
        <w:pStyle w:val="BodyText"/>
        <w:spacing w:before="159" w:line="259" w:lineRule="auto"/>
        <w:ind w:left="540" w:right="847"/>
      </w:pPr>
      <w:r>
        <w:t>In a similar vein, there is significant evidence that the older people face older people abuse. It is</w:t>
      </w:r>
      <w:r>
        <w:rPr>
          <w:spacing w:val="1"/>
        </w:rPr>
        <w:t xml:space="preserve"> </w:t>
      </w:r>
      <w:r>
        <w:t xml:space="preserve">significantly higher </w:t>
      </w:r>
      <w:r>
        <w:t>in the Pākehā as compared to Maori older people</w:t>
      </w:r>
      <w:r>
        <w:rPr>
          <w:vertAlign w:val="superscript"/>
        </w:rPr>
        <w:t>89</w:t>
      </w:r>
      <w:r>
        <w:t>.</w:t>
      </w:r>
      <w:r>
        <w:rPr>
          <w:spacing w:val="1"/>
        </w:rPr>
        <w:t xml:space="preserve"> </w:t>
      </w:r>
      <w:r>
        <w:t>This is because there is a</w:t>
      </w:r>
      <w:r>
        <w:rPr>
          <w:spacing w:val="1"/>
        </w:rPr>
        <w:t xml:space="preserve"> </w:t>
      </w:r>
      <w:r>
        <w:t>higher level of respect for the older people in the Māori as opposed to Pākehā</w:t>
      </w:r>
      <w:r>
        <w:rPr>
          <w:vertAlign w:val="superscript"/>
        </w:rPr>
        <w:t>89</w:t>
      </w:r>
      <w:r>
        <w:t>. There is a slightly</w:t>
      </w:r>
      <w:r>
        <w:rPr>
          <w:spacing w:val="-52"/>
        </w:rPr>
        <w:t xml:space="preserve"> </w:t>
      </w:r>
      <w:r>
        <w:t>older</w:t>
      </w:r>
      <w:r>
        <w:rPr>
          <w:spacing w:val="-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(2012)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has a bibliography</w:t>
      </w:r>
      <w:r>
        <w:rPr>
          <w:spacing w:val="-3"/>
        </w:rPr>
        <w:t xml:space="preserve"> </w:t>
      </w:r>
      <w:r>
        <w:t>of elder</w:t>
      </w:r>
      <w:r>
        <w:rPr>
          <w:spacing w:val="-2"/>
        </w:rPr>
        <w:t xml:space="preserve"> </w:t>
      </w:r>
      <w:r>
        <w:t>abuse</w:t>
      </w:r>
      <w:r>
        <w:rPr>
          <w:vertAlign w:val="superscript"/>
        </w:rPr>
        <w:t>95</w:t>
      </w:r>
      <w:r>
        <w:t>.</w:t>
      </w:r>
    </w:p>
    <w:p w14:paraId="7FE0C782" w14:textId="77777777" w:rsidR="002A14F8" w:rsidRDefault="003458B8">
      <w:pPr>
        <w:pStyle w:val="BodyText"/>
        <w:spacing w:before="160" w:line="259" w:lineRule="auto"/>
        <w:ind w:left="540" w:right="572"/>
      </w:pPr>
      <w:r>
        <w:t>Health and w</w:t>
      </w:r>
      <w:r>
        <w:t>ell-being are important issues for older people. The Ministry of Health has identified</w:t>
      </w:r>
      <w:r>
        <w:rPr>
          <w:spacing w:val="1"/>
        </w:rPr>
        <w:t xml:space="preserve"> </w:t>
      </w:r>
      <w:r>
        <w:t>health and care a key societal concern relating to the older people</w:t>
      </w:r>
      <w:r>
        <w:rPr>
          <w:vertAlign w:val="superscript"/>
        </w:rPr>
        <w:t>96</w:t>
      </w:r>
      <w:r>
        <w:t>. Older people have physical,</w:t>
      </w:r>
      <w:r>
        <w:rPr>
          <w:spacing w:val="1"/>
        </w:rPr>
        <w:t xml:space="preserve"> </w:t>
      </w:r>
      <w:r>
        <w:t>psychological and mental disabilities, depression, loss and chronic me</w:t>
      </w:r>
      <w:r>
        <w:t>dical conditions</w:t>
      </w:r>
      <w:r>
        <w:rPr>
          <w:vertAlign w:val="superscript"/>
        </w:rPr>
        <w:t>89</w:t>
      </w:r>
      <w:r>
        <w:t>. The focus of</w:t>
      </w:r>
      <w:r>
        <w:rPr>
          <w:spacing w:val="-52"/>
        </w:rPr>
        <w:t xml:space="preserve"> </w:t>
      </w:r>
      <w:r>
        <w:t>health care should be on life-course and person-centred approaches to address the social determinants</w:t>
      </w:r>
      <w:r>
        <w:rPr>
          <w:spacing w:val="-52"/>
        </w:rPr>
        <w:t xml:space="preserve"> </w:t>
      </w:r>
      <w:r>
        <w:t>of health and to give full weight to the end-of-life phase</w:t>
      </w:r>
      <w:r>
        <w:rPr>
          <w:vertAlign w:val="superscript"/>
        </w:rPr>
        <w:t>96</w:t>
      </w:r>
      <w:r>
        <w:t>. Consultations have found that there was a</w:t>
      </w:r>
      <w:r>
        <w:rPr>
          <w:spacing w:val="1"/>
        </w:rPr>
        <w:t xml:space="preserve"> </w:t>
      </w:r>
      <w:r>
        <w:t>need to develop a strategy about ageing well with a better and more integrated responsive system</w:t>
      </w:r>
      <w:r>
        <w:rPr>
          <w:spacing w:val="1"/>
        </w:rPr>
        <w:t xml:space="preserve"> </w:t>
      </w:r>
      <w:r>
        <w:t>rather</w:t>
      </w:r>
      <w:r>
        <w:rPr>
          <w:spacing w:val="-3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focus</w:t>
      </w:r>
      <w:r>
        <w:rPr>
          <w:spacing w:val="-3"/>
        </w:rPr>
        <w:t xml:space="preserve"> </w:t>
      </w:r>
      <w:r>
        <w:t>on health</w:t>
      </w:r>
      <w:r>
        <w:rPr>
          <w:spacing w:val="-1"/>
        </w:rPr>
        <w:t xml:space="preserve"> </w:t>
      </w:r>
      <w:r>
        <w:t>issues</w:t>
      </w:r>
      <w:r>
        <w:rPr>
          <w:spacing w:val="-1"/>
        </w:rPr>
        <w:t xml:space="preserve"> </w:t>
      </w:r>
      <w:r>
        <w:t>only</w:t>
      </w:r>
      <w:r>
        <w:rPr>
          <w:vertAlign w:val="superscript"/>
        </w:rPr>
        <w:t>96</w:t>
      </w:r>
      <w:r>
        <w:t>.</w:t>
      </w:r>
      <w:r>
        <w:rPr>
          <w:spacing w:val="-1"/>
        </w:rPr>
        <w:t xml:space="preserve"> </w:t>
      </w:r>
      <w:r>
        <w:t>Health and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need</w:t>
      </w:r>
      <w:r>
        <w:rPr>
          <w:spacing w:val="-4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equip</w:t>
      </w:r>
      <w:r>
        <w:rPr>
          <w:spacing w:val="-6"/>
        </w:rPr>
        <w:t xml:space="preserve"> </w:t>
      </w:r>
      <w:r>
        <w:t>families</w:t>
      </w:r>
      <w:r>
        <w:rPr>
          <w:spacing w:val="-1"/>
        </w:rPr>
        <w:t xml:space="preserve"> </w:t>
      </w:r>
      <w:r>
        <w:t>with the</w:t>
      </w:r>
    </w:p>
    <w:p w14:paraId="6D52CE5E" w14:textId="77777777" w:rsidR="002A14F8" w:rsidRDefault="002A14F8">
      <w:pPr>
        <w:spacing w:line="259" w:lineRule="auto"/>
        <w:sectPr w:rsidR="002A14F8">
          <w:pgSz w:w="11910" w:h="16840"/>
          <w:pgMar w:top="1360" w:right="940" w:bottom="1200" w:left="900" w:header="0" w:footer="1010" w:gutter="0"/>
          <w:cols w:space="720"/>
        </w:sectPr>
      </w:pPr>
    </w:p>
    <w:p w14:paraId="1CC3EE00" w14:textId="77777777" w:rsidR="002A14F8" w:rsidRDefault="003458B8">
      <w:pPr>
        <w:pStyle w:val="BodyText"/>
        <w:spacing w:before="78" w:line="256" w:lineRule="auto"/>
        <w:ind w:left="540" w:right="1354"/>
      </w:pPr>
      <w:r>
        <w:lastRenderedPageBreak/>
        <w:t>ability to provide more support, in a c</w:t>
      </w:r>
      <w:r>
        <w:t>ulturally appropriate manner</w:t>
      </w:r>
      <w:r>
        <w:rPr>
          <w:vertAlign w:val="superscript"/>
        </w:rPr>
        <w:t>96</w:t>
      </w:r>
      <w:r>
        <w:t>. There is also a growing</w:t>
      </w:r>
      <w:r>
        <w:rPr>
          <w:spacing w:val="-52"/>
        </w:rPr>
        <w:t xml:space="preserve"> </w:t>
      </w:r>
      <w:r>
        <w:t>awareness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need of</w:t>
      </w:r>
      <w:r>
        <w:rPr>
          <w:spacing w:val="1"/>
        </w:rPr>
        <w:t xml:space="preserve"> </w:t>
      </w:r>
      <w:r>
        <w:t>older people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programmes</w:t>
      </w:r>
      <w:r>
        <w:rPr>
          <w:spacing w:val="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keep them</w:t>
      </w:r>
      <w:r>
        <w:rPr>
          <w:spacing w:val="-5"/>
        </w:rPr>
        <w:t xml:space="preserve"> </w:t>
      </w:r>
      <w:r>
        <w:t>active</w:t>
      </w:r>
      <w:r>
        <w:rPr>
          <w:vertAlign w:val="superscript"/>
        </w:rPr>
        <w:t>97</w:t>
      </w:r>
      <w:r>
        <w:t>.</w:t>
      </w:r>
    </w:p>
    <w:p w14:paraId="238E4799" w14:textId="77777777" w:rsidR="002A14F8" w:rsidRDefault="003458B8">
      <w:pPr>
        <w:spacing w:before="162" w:line="249" w:lineRule="auto"/>
        <w:ind w:left="540" w:right="499"/>
        <w:rPr>
          <w:sz w:val="24"/>
        </w:rPr>
      </w:pPr>
      <w:r>
        <w:t>Though some older people are mobile, for example still able to drive, there is a large number who do</w:t>
      </w:r>
      <w:r>
        <w:rPr>
          <w:spacing w:val="1"/>
        </w:rPr>
        <w:t xml:space="preserve"> </w:t>
      </w:r>
      <w:r>
        <w:t xml:space="preserve">not have that ability. </w:t>
      </w:r>
      <w:r>
        <w:t>M</w:t>
      </w:r>
      <w:r>
        <w:rPr>
          <w:sz w:val="24"/>
        </w:rPr>
        <w:t>obility relates to personal independence, well-being and quality of life</w:t>
      </w:r>
      <w:r>
        <w:rPr>
          <w:sz w:val="24"/>
          <w:vertAlign w:val="superscript"/>
        </w:rPr>
        <w:t>88</w:t>
      </w:r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t>There is a link between health and mobility in older people have been neglected</w:t>
      </w:r>
      <w:r>
        <w:rPr>
          <w:vertAlign w:val="superscript"/>
        </w:rPr>
        <w:t>88</w:t>
      </w:r>
      <w:r>
        <w:t>. The mobility and</w:t>
      </w:r>
      <w:r>
        <w:rPr>
          <w:spacing w:val="1"/>
        </w:rPr>
        <w:t xml:space="preserve"> </w:t>
      </w:r>
      <w:r>
        <w:t xml:space="preserve">accessibilities issues for older people cause </w:t>
      </w:r>
      <w:r>
        <w:rPr>
          <w:sz w:val="24"/>
        </w:rPr>
        <w:t>unequal access to vital infrastructures and can lead to</w:t>
      </w:r>
      <w:r>
        <w:rPr>
          <w:spacing w:val="-57"/>
          <w:sz w:val="24"/>
        </w:rPr>
        <w:t xml:space="preserve"> </w:t>
      </w:r>
      <w:r>
        <w:rPr>
          <w:sz w:val="24"/>
        </w:rPr>
        <w:t>distress,</w:t>
      </w:r>
      <w:r>
        <w:rPr>
          <w:spacing w:val="-1"/>
          <w:sz w:val="24"/>
        </w:rPr>
        <w:t xml:space="preserve"> </w:t>
      </w:r>
      <w:r>
        <w:rPr>
          <w:sz w:val="24"/>
        </w:rPr>
        <w:t>social exclusion, discrimination, insecurity</w:t>
      </w:r>
      <w:r>
        <w:rPr>
          <w:spacing w:val="-3"/>
          <w:sz w:val="24"/>
        </w:rPr>
        <w:t xml:space="preserve"> </w:t>
      </w:r>
      <w:r>
        <w:rPr>
          <w:sz w:val="24"/>
        </w:rPr>
        <w:t>and disrespect</w:t>
      </w:r>
      <w:r>
        <w:rPr>
          <w:sz w:val="24"/>
          <w:vertAlign w:val="superscript"/>
        </w:rPr>
        <w:t>88</w:t>
      </w:r>
      <w:r>
        <w:rPr>
          <w:sz w:val="24"/>
        </w:rPr>
        <w:t>.</w:t>
      </w:r>
    </w:p>
    <w:p w14:paraId="245D8B01" w14:textId="77777777" w:rsidR="002A14F8" w:rsidRDefault="003458B8">
      <w:pPr>
        <w:pStyle w:val="BodyText"/>
        <w:spacing w:before="172" w:line="259" w:lineRule="auto"/>
        <w:ind w:left="540" w:right="506"/>
      </w:pPr>
      <w:r>
        <w:t xml:space="preserve">While at one stage a large number of older people owned their own home, there is </w:t>
      </w:r>
      <w:r>
        <w:t>a growing number</w:t>
      </w:r>
      <w:r>
        <w:rPr>
          <w:spacing w:val="1"/>
        </w:rPr>
        <w:t xml:space="preserve"> </w:t>
      </w:r>
      <w:r>
        <w:t>that no longer do. Within the next few decades, half the older people reaching retirement age will be</w:t>
      </w:r>
      <w:r>
        <w:rPr>
          <w:spacing w:val="1"/>
        </w:rPr>
        <w:t xml:space="preserve"> </w:t>
      </w:r>
      <w:r>
        <w:t>renting’</w:t>
      </w:r>
      <w:r>
        <w:rPr>
          <w:vertAlign w:val="superscript"/>
        </w:rPr>
        <w:t>98</w:t>
      </w:r>
      <w:r>
        <w:t>. The affordability of Auckland for renting seniors and financially vulnerable owner‐</w:t>
      </w:r>
      <w:r>
        <w:rPr>
          <w:spacing w:val="1"/>
        </w:rPr>
        <w:t xml:space="preserve"> </w:t>
      </w:r>
      <w:r>
        <w:t>occupier</w:t>
      </w:r>
      <w:r>
        <w:rPr>
          <w:spacing w:val="2"/>
        </w:rPr>
        <w:t xml:space="preserve"> </w:t>
      </w:r>
      <w:r>
        <w:t>seniors</w:t>
      </w:r>
      <w:r>
        <w:rPr>
          <w:spacing w:val="2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become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deeper</w:t>
      </w:r>
      <w:r>
        <w:rPr>
          <w:spacing w:val="1"/>
        </w:rPr>
        <w:t xml:space="preserve"> </w:t>
      </w:r>
      <w:r>
        <w:t>iss</w:t>
      </w:r>
      <w:r>
        <w:t>ue</w:t>
      </w:r>
      <w:r>
        <w:rPr>
          <w:spacing w:val="1"/>
        </w:rPr>
        <w:t xml:space="preserve"> </w:t>
      </w:r>
      <w:r>
        <w:t>if</w:t>
      </w:r>
      <w:r>
        <w:rPr>
          <w:spacing w:val="3"/>
        </w:rPr>
        <w:t xml:space="preserve"> </w:t>
      </w:r>
      <w:r>
        <w:t>housing costs</w:t>
      </w:r>
      <w:r>
        <w:rPr>
          <w:spacing w:val="3"/>
        </w:rPr>
        <w:t xml:space="preserve"> </w:t>
      </w:r>
      <w:r>
        <w:t>continue</w:t>
      </w:r>
      <w:r>
        <w:rPr>
          <w:spacing w:val="1"/>
        </w:rPr>
        <w:t xml:space="preserve"> </w:t>
      </w:r>
      <w:r>
        <w:t>to rise</w:t>
      </w:r>
      <w:r>
        <w:rPr>
          <w:spacing w:val="3"/>
        </w:rPr>
        <w:t xml:space="preserve"> </w:t>
      </w:r>
      <w:r>
        <w:t>and the</w:t>
      </w:r>
      <w:r>
        <w:rPr>
          <w:spacing w:val="3"/>
        </w:rPr>
        <w:t xml:space="preserve"> </w:t>
      </w:r>
      <w:r>
        <w:t>number</w:t>
      </w:r>
      <w:r>
        <w:rPr>
          <w:spacing w:val="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seniors grows</w:t>
      </w:r>
      <w:r>
        <w:rPr>
          <w:vertAlign w:val="superscript"/>
        </w:rPr>
        <w:t>98</w:t>
      </w:r>
      <w:r>
        <w:t>. With the increasing number of older people renting like with others communities lead</w:t>
      </w:r>
      <w:r>
        <w:rPr>
          <w:spacing w:val="-5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issues</w:t>
      </w:r>
      <w:r>
        <w:rPr>
          <w:spacing w:val="-2"/>
        </w:rPr>
        <w:t xml:space="preserve"> </w:t>
      </w:r>
      <w:r>
        <w:t>of health</w:t>
      </w:r>
      <w:r>
        <w:rPr>
          <w:spacing w:val="-4"/>
        </w:rPr>
        <w:t xml:space="preserve"> </w:t>
      </w:r>
      <w:r>
        <w:t>and well-being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 quality,</w:t>
      </w:r>
      <w:r>
        <w:rPr>
          <w:spacing w:val="-1"/>
        </w:rPr>
        <w:t xml:space="preserve"> </w:t>
      </w:r>
      <w:r>
        <w:t>condition cost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rental</w:t>
      </w:r>
      <w:r>
        <w:rPr>
          <w:spacing w:val="1"/>
        </w:rPr>
        <w:t xml:space="preserve"> </w:t>
      </w:r>
      <w:r>
        <w:t>housing</w:t>
      </w:r>
      <w:r>
        <w:rPr>
          <w:vertAlign w:val="superscript"/>
        </w:rPr>
        <w:t>98</w:t>
      </w:r>
      <w:r>
        <w:t>.</w:t>
      </w:r>
    </w:p>
    <w:p w14:paraId="33AA77B6" w14:textId="77777777" w:rsidR="002A14F8" w:rsidRDefault="003458B8">
      <w:pPr>
        <w:pStyle w:val="BodyText"/>
        <w:spacing w:before="159" w:line="259" w:lineRule="auto"/>
        <w:ind w:left="540" w:right="596"/>
      </w:pPr>
      <w:r>
        <w:t>Some local governments have begun to address concerns of older people in their regions and develop</w:t>
      </w:r>
      <w:r>
        <w:rPr>
          <w:spacing w:val="-52"/>
        </w:rPr>
        <w:t xml:space="preserve"> </w:t>
      </w:r>
      <w:r>
        <w:t>stratgies in consultation with older people groups within their catchment</w:t>
      </w:r>
      <w:r>
        <w:rPr>
          <w:vertAlign w:val="superscript"/>
        </w:rPr>
        <w:t>99–101</w:t>
      </w:r>
      <w:r>
        <w:t>. The plan aims to build</w:t>
      </w:r>
      <w:r>
        <w:rPr>
          <w:spacing w:val="-52"/>
        </w:rPr>
        <w:t xml:space="preserve"> </w:t>
      </w:r>
      <w:r>
        <w:t xml:space="preserve">on and make cities better places for older people to </w:t>
      </w:r>
      <w:r>
        <w:t>live in. Actions cover nine key themes: outdoor</w:t>
      </w:r>
      <w:r>
        <w:rPr>
          <w:spacing w:val="1"/>
        </w:rPr>
        <w:t xml:space="preserve"> </w:t>
      </w:r>
      <w:r>
        <w:t>spaces and public buildings; transport and mobility; housing; social participation; respect and social</w:t>
      </w:r>
      <w:r>
        <w:rPr>
          <w:spacing w:val="1"/>
        </w:rPr>
        <w:t xml:space="preserve"> </w:t>
      </w:r>
      <w:r>
        <w:t>inclusion; civic participation and employment; communication and information; community support</w:t>
      </w:r>
      <w:r>
        <w:rPr>
          <w:spacing w:val="1"/>
        </w:rPr>
        <w:t xml:space="preserve"> </w:t>
      </w:r>
      <w:r>
        <w:t>and healt</w:t>
      </w:r>
      <w:r>
        <w:t>h services; and safety. Examples found were Hamilton City Council (first in New Zealand)</w:t>
      </w:r>
      <w:r>
        <w:rPr>
          <w:spacing w:val="1"/>
        </w:rPr>
        <w:t xml:space="preserve"> </w:t>
      </w:r>
      <w:r>
        <w:t>and Tasman District Council. The Horowhenua District Council has a dedicated website for</w:t>
      </w:r>
      <w:r>
        <w:rPr>
          <w:spacing w:val="1"/>
        </w:rPr>
        <w:t xml:space="preserve"> </w:t>
      </w:r>
      <w:r>
        <w:t>information on transport services, activities and connections and networks for</w:t>
      </w:r>
      <w:r>
        <w:t xml:space="preserve"> older people. It also</w:t>
      </w:r>
      <w:r>
        <w:rPr>
          <w:spacing w:val="1"/>
        </w:rPr>
        <w:t xml:space="preserve"> </w:t>
      </w:r>
      <w:r>
        <w:t>adopted</w:t>
      </w:r>
      <w:r>
        <w:rPr>
          <w:spacing w:val="-1"/>
        </w:rPr>
        <w:t xml:space="preserve"> </w:t>
      </w:r>
      <w:r>
        <w:t xml:space="preserve">a </w:t>
      </w:r>
      <w:r>
        <w:rPr>
          <w:i/>
        </w:rPr>
        <w:t>Positive Ageing</w:t>
      </w:r>
      <w:r>
        <w:rPr>
          <w:i/>
          <w:spacing w:val="-3"/>
        </w:rPr>
        <w:t xml:space="preserve"> </w:t>
      </w:r>
      <w:r>
        <w:rPr>
          <w:i/>
        </w:rPr>
        <w:t>Action Plan 2016-2019</w:t>
      </w:r>
      <w:r>
        <w:t>.</w:t>
      </w:r>
    </w:p>
    <w:p w14:paraId="2DBF4C7F" w14:textId="77777777" w:rsidR="002A14F8" w:rsidRDefault="003458B8">
      <w:pPr>
        <w:pStyle w:val="BodyText"/>
        <w:spacing w:before="160" w:line="259" w:lineRule="auto"/>
        <w:ind w:left="540" w:right="614"/>
      </w:pPr>
      <w:r>
        <w:t xml:space="preserve">The Office for Seniors produced a strategy for the older people: </w:t>
      </w:r>
      <w:r>
        <w:rPr>
          <w:i/>
        </w:rPr>
        <w:t>Better Later Life He Oranga</w:t>
      </w:r>
      <w:r>
        <w:rPr>
          <w:i/>
          <w:spacing w:val="1"/>
        </w:rPr>
        <w:t xml:space="preserve"> </w:t>
      </w:r>
      <w:r>
        <w:rPr>
          <w:i/>
        </w:rPr>
        <w:t>Kaumātua 2019 to 2034</w:t>
      </w:r>
      <w:r>
        <w:t>. This strategy was produced in consultation with the older people adv</w:t>
      </w:r>
      <w:r>
        <w:t>ocate</w:t>
      </w:r>
      <w:r>
        <w:rPr>
          <w:spacing w:val="1"/>
        </w:rPr>
        <w:t xml:space="preserve"> </w:t>
      </w:r>
      <w:r>
        <w:t>groups and interested parties and at the same time was both guided by and in line with the Treaty of</w:t>
      </w:r>
      <w:r>
        <w:rPr>
          <w:spacing w:val="1"/>
        </w:rPr>
        <w:t xml:space="preserve"> </w:t>
      </w:r>
      <w:r>
        <w:t xml:space="preserve">Waitangi </w:t>
      </w:r>
      <w:r>
        <w:rPr>
          <w:vertAlign w:val="superscript"/>
        </w:rPr>
        <w:t>93,102,103</w:t>
      </w:r>
      <w:r>
        <w:t>. Aotearoa New Zealand has a growing older people population that is diverse with</w:t>
      </w:r>
      <w:r>
        <w:rPr>
          <w:spacing w:val="1"/>
        </w:rPr>
        <w:t xml:space="preserve"> </w:t>
      </w:r>
      <w:r>
        <w:t>many ethnicities and sexualities and family/whān</w:t>
      </w:r>
      <w:r>
        <w:t>au structures. There are increasing barriers with</w:t>
      </w:r>
      <w:r>
        <w:rPr>
          <w:spacing w:val="1"/>
        </w:rPr>
        <w:t xml:space="preserve"> </w:t>
      </w:r>
      <w:r>
        <w:t>technology and transport, though housing and health remain the most important issues for this</w:t>
      </w:r>
      <w:r>
        <w:rPr>
          <w:spacing w:val="1"/>
        </w:rPr>
        <w:t xml:space="preserve"> </w:t>
      </w:r>
      <w:r>
        <w:t>community</w:t>
      </w:r>
      <w:r>
        <w:rPr>
          <w:vertAlign w:val="superscript"/>
        </w:rPr>
        <w:t>93,102,103</w:t>
      </w:r>
      <w:r>
        <w:t>. The strategy identifies five key areas for action, and within each what we want to</w:t>
      </w:r>
      <w:r>
        <w:rPr>
          <w:spacing w:val="-52"/>
        </w:rPr>
        <w:t xml:space="preserve"> </w:t>
      </w:r>
      <w:r>
        <w:t>achieve</w:t>
      </w:r>
      <w:r>
        <w:rPr>
          <w:spacing w:val="-1"/>
        </w:rPr>
        <w:t xml:space="preserve"> </w:t>
      </w:r>
      <w:r>
        <w:t>and what</w:t>
      </w:r>
      <w:r>
        <w:rPr>
          <w:spacing w:val="1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happen</w:t>
      </w:r>
      <w:r>
        <w:rPr>
          <w:spacing w:val="-3"/>
        </w:rPr>
        <w:t xml:space="preserve"> </w:t>
      </w:r>
      <w:r>
        <w:t>to do</w:t>
      </w:r>
      <w:r>
        <w:rPr>
          <w:spacing w:val="-3"/>
        </w:rPr>
        <w:t xml:space="preserve"> </w:t>
      </w:r>
      <w:r>
        <w:t>this:</w:t>
      </w:r>
      <w:r>
        <w:rPr>
          <w:vertAlign w:val="superscript"/>
        </w:rPr>
        <w:t>93</w:t>
      </w:r>
    </w:p>
    <w:p w14:paraId="1EE673A3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158"/>
        <w:ind w:hanging="361"/>
        <w:rPr>
          <w:sz w:val="21"/>
        </w:rPr>
      </w:pPr>
      <w:r>
        <w:rPr>
          <w:sz w:val="21"/>
        </w:rPr>
        <w:t>Achieving</w:t>
      </w:r>
      <w:r>
        <w:rPr>
          <w:spacing w:val="-2"/>
          <w:sz w:val="21"/>
        </w:rPr>
        <w:t xml:space="preserve"> </w:t>
      </w:r>
      <w:r>
        <w:rPr>
          <w:sz w:val="21"/>
        </w:rPr>
        <w:t>financial</w:t>
      </w:r>
      <w:r>
        <w:rPr>
          <w:spacing w:val="-3"/>
          <w:sz w:val="21"/>
        </w:rPr>
        <w:t xml:space="preserve"> </w:t>
      </w:r>
      <w:r>
        <w:rPr>
          <w:sz w:val="21"/>
        </w:rPr>
        <w:t>security</w:t>
      </w:r>
      <w:r>
        <w:rPr>
          <w:spacing w:val="-4"/>
          <w:sz w:val="21"/>
        </w:rPr>
        <w:t xml:space="preserve"> </w:t>
      </w:r>
      <w:r>
        <w:rPr>
          <w:sz w:val="21"/>
        </w:rPr>
        <w:t>and</w:t>
      </w:r>
      <w:r>
        <w:rPr>
          <w:spacing w:val="-1"/>
          <w:sz w:val="21"/>
        </w:rPr>
        <w:t xml:space="preserve"> </w:t>
      </w:r>
      <w:r>
        <w:rPr>
          <w:sz w:val="21"/>
        </w:rPr>
        <w:t>economic</w:t>
      </w:r>
      <w:r>
        <w:rPr>
          <w:spacing w:val="-2"/>
          <w:sz w:val="21"/>
        </w:rPr>
        <w:t xml:space="preserve"> </w:t>
      </w:r>
      <w:r>
        <w:rPr>
          <w:sz w:val="21"/>
        </w:rPr>
        <w:t>participation</w:t>
      </w:r>
    </w:p>
    <w:p w14:paraId="09EF0358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17"/>
        <w:ind w:hanging="361"/>
        <w:rPr>
          <w:sz w:val="21"/>
        </w:rPr>
      </w:pPr>
      <w:r>
        <w:rPr>
          <w:sz w:val="21"/>
        </w:rPr>
        <w:t>Promoting</w:t>
      </w:r>
      <w:r>
        <w:rPr>
          <w:spacing w:val="-1"/>
          <w:sz w:val="21"/>
        </w:rPr>
        <w:t xml:space="preserve"> </w:t>
      </w:r>
      <w:r>
        <w:rPr>
          <w:sz w:val="21"/>
        </w:rPr>
        <w:t>healthy</w:t>
      </w:r>
      <w:r>
        <w:rPr>
          <w:spacing w:val="-6"/>
          <w:sz w:val="21"/>
        </w:rPr>
        <w:t xml:space="preserve"> </w:t>
      </w:r>
      <w:r>
        <w:rPr>
          <w:sz w:val="21"/>
        </w:rPr>
        <w:t>ageing and</w:t>
      </w:r>
      <w:r>
        <w:rPr>
          <w:spacing w:val="-1"/>
          <w:sz w:val="21"/>
        </w:rPr>
        <w:t xml:space="preserve"> </w:t>
      </w:r>
      <w:r>
        <w:rPr>
          <w:sz w:val="21"/>
        </w:rPr>
        <w:t>improving access</w:t>
      </w:r>
      <w:r>
        <w:rPr>
          <w:spacing w:val="-2"/>
          <w:sz w:val="21"/>
        </w:rPr>
        <w:t xml:space="preserve"> </w:t>
      </w:r>
      <w:r>
        <w:rPr>
          <w:sz w:val="21"/>
        </w:rPr>
        <w:t>to services</w:t>
      </w:r>
    </w:p>
    <w:p w14:paraId="315FF341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18"/>
        <w:ind w:hanging="361"/>
        <w:rPr>
          <w:sz w:val="21"/>
        </w:rPr>
      </w:pPr>
      <w:r>
        <w:rPr>
          <w:sz w:val="21"/>
        </w:rPr>
        <w:t>Creating</w:t>
      </w:r>
      <w:r>
        <w:rPr>
          <w:spacing w:val="-1"/>
          <w:sz w:val="21"/>
        </w:rPr>
        <w:t xml:space="preserve"> </w:t>
      </w:r>
      <w:r>
        <w:rPr>
          <w:sz w:val="21"/>
        </w:rPr>
        <w:t>diverse</w:t>
      </w:r>
      <w:r>
        <w:rPr>
          <w:spacing w:val="-2"/>
          <w:sz w:val="21"/>
        </w:rPr>
        <w:t xml:space="preserve"> </w:t>
      </w:r>
      <w:r>
        <w:rPr>
          <w:sz w:val="21"/>
        </w:rPr>
        <w:t>housing choices</w:t>
      </w:r>
      <w:r>
        <w:rPr>
          <w:spacing w:val="-2"/>
          <w:sz w:val="21"/>
        </w:rPr>
        <w:t xml:space="preserve"> </w:t>
      </w:r>
      <w:r>
        <w:rPr>
          <w:sz w:val="21"/>
        </w:rPr>
        <w:t>and options</w:t>
      </w:r>
    </w:p>
    <w:p w14:paraId="4903C580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19"/>
        <w:ind w:hanging="361"/>
        <w:rPr>
          <w:sz w:val="21"/>
        </w:rPr>
      </w:pPr>
      <w:r>
        <w:rPr>
          <w:sz w:val="21"/>
        </w:rPr>
        <w:t>Enhancing</w:t>
      </w:r>
      <w:r>
        <w:rPr>
          <w:spacing w:val="-2"/>
          <w:sz w:val="21"/>
        </w:rPr>
        <w:t xml:space="preserve"> </w:t>
      </w:r>
      <w:r>
        <w:rPr>
          <w:sz w:val="21"/>
        </w:rPr>
        <w:t>opportunities</w:t>
      </w:r>
      <w:r>
        <w:rPr>
          <w:spacing w:val="-2"/>
          <w:sz w:val="21"/>
        </w:rPr>
        <w:t xml:space="preserve"> </w:t>
      </w:r>
      <w:r>
        <w:rPr>
          <w:sz w:val="21"/>
        </w:rPr>
        <w:t>for</w:t>
      </w:r>
      <w:r>
        <w:rPr>
          <w:spacing w:val="-2"/>
          <w:sz w:val="21"/>
        </w:rPr>
        <w:t xml:space="preserve"> </w:t>
      </w:r>
      <w:r>
        <w:rPr>
          <w:sz w:val="21"/>
        </w:rPr>
        <w:t>participation</w:t>
      </w:r>
      <w:r>
        <w:rPr>
          <w:spacing w:val="-2"/>
          <w:sz w:val="21"/>
        </w:rPr>
        <w:t xml:space="preserve"> </w:t>
      </w:r>
      <w:r>
        <w:rPr>
          <w:sz w:val="21"/>
        </w:rPr>
        <w:t>and</w:t>
      </w:r>
      <w:r>
        <w:rPr>
          <w:spacing w:val="-1"/>
          <w:sz w:val="21"/>
        </w:rPr>
        <w:t xml:space="preserve"> </w:t>
      </w:r>
      <w:r>
        <w:rPr>
          <w:sz w:val="21"/>
        </w:rPr>
        <w:t>social</w:t>
      </w:r>
      <w:r>
        <w:rPr>
          <w:spacing w:val="-2"/>
          <w:sz w:val="21"/>
        </w:rPr>
        <w:t xml:space="preserve"> </w:t>
      </w:r>
      <w:r>
        <w:rPr>
          <w:sz w:val="21"/>
        </w:rPr>
        <w:t>connection</w:t>
      </w:r>
    </w:p>
    <w:p w14:paraId="30BCA4E1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19"/>
        <w:ind w:hanging="361"/>
        <w:rPr>
          <w:sz w:val="21"/>
        </w:rPr>
      </w:pPr>
      <w:r>
        <w:rPr>
          <w:sz w:val="21"/>
        </w:rPr>
        <w:t>Making</w:t>
      </w:r>
      <w:r>
        <w:rPr>
          <w:spacing w:val="-2"/>
          <w:sz w:val="21"/>
        </w:rPr>
        <w:t xml:space="preserve"> </w:t>
      </w:r>
      <w:r>
        <w:rPr>
          <w:sz w:val="21"/>
        </w:rPr>
        <w:t>environments</w:t>
      </w:r>
      <w:r>
        <w:rPr>
          <w:spacing w:val="-1"/>
          <w:sz w:val="21"/>
        </w:rPr>
        <w:t xml:space="preserve"> </w:t>
      </w:r>
      <w:r>
        <w:rPr>
          <w:sz w:val="21"/>
        </w:rPr>
        <w:t>accessible</w:t>
      </w:r>
    </w:p>
    <w:p w14:paraId="500E1C5C" w14:textId="77777777" w:rsidR="002A14F8" w:rsidRDefault="003458B8">
      <w:pPr>
        <w:pStyle w:val="BodyText"/>
        <w:spacing w:before="178" w:line="259" w:lineRule="auto"/>
        <w:ind w:left="540" w:right="541"/>
      </w:pPr>
      <w:r>
        <w:t>Inclusion and participation is important for the older people to provide continued purpose in their life.</w:t>
      </w:r>
      <w:r>
        <w:rPr>
          <w:spacing w:val="-52"/>
        </w:rPr>
        <w:t xml:space="preserve"> </w:t>
      </w:r>
      <w:r>
        <w:t>They desire more older people-friendly communities that provide opportunities and spaces for</w:t>
      </w:r>
      <w:r>
        <w:rPr>
          <w:spacing w:val="1"/>
        </w:rPr>
        <w:t xml:space="preserve"> </w:t>
      </w:r>
      <w:r>
        <w:t>community parti</w:t>
      </w:r>
      <w:r>
        <w:t xml:space="preserve">cipation in and among the community </w:t>
      </w:r>
      <w:r>
        <w:rPr>
          <w:vertAlign w:val="superscript"/>
        </w:rPr>
        <w:t>96</w:t>
      </w:r>
      <w:r>
        <w:t>. This requires support and assistance for</w:t>
      </w:r>
      <w:r>
        <w:rPr>
          <w:spacing w:val="1"/>
        </w:rPr>
        <w:t xml:space="preserve"> </w:t>
      </w:r>
      <w:r>
        <w:t>older people and their families as the current modern family situation has led to family</w:t>
      </w:r>
      <w:r>
        <w:rPr>
          <w:spacing w:val="1"/>
        </w:rPr>
        <w:t xml:space="preserve"> </w:t>
      </w:r>
      <w:r>
        <w:t>fragmentation</w:t>
      </w:r>
      <w:r>
        <w:rPr>
          <w:vertAlign w:val="superscript"/>
        </w:rPr>
        <w:t>89</w:t>
      </w:r>
      <w:r>
        <w:t>. For Māori, they have a there is still responsibility to include their</w:t>
      </w:r>
      <w:r>
        <w:t xml:space="preserve"> older people in</w:t>
      </w:r>
      <w:r>
        <w:rPr>
          <w:spacing w:val="1"/>
        </w:rPr>
        <w:t xml:space="preserve"> </w:t>
      </w:r>
      <w:r>
        <w:t>community participation as they are called upon for their knowledge and leadership as kaumatua, and</w:t>
      </w:r>
      <w:r>
        <w:rPr>
          <w:spacing w:val="-5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look</w:t>
      </w:r>
      <w:r>
        <w:rPr>
          <w:spacing w:val="-3"/>
        </w:rPr>
        <w:t xml:space="preserve"> </w:t>
      </w:r>
      <w:r>
        <w:t>after whanau, hapū</w:t>
      </w:r>
      <w:r>
        <w:rPr>
          <w:spacing w:val="-3"/>
        </w:rPr>
        <w:t xml:space="preserve"> </w:t>
      </w:r>
      <w:r>
        <w:t>and iwi</w:t>
      </w:r>
      <w:r>
        <w:rPr>
          <w:spacing w:val="1"/>
        </w:rPr>
        <w:t xml:space="preserve"> </w:t>
      </w:r>
      <w:r>
        <w:t>well-being</w:t>
      </w:r>
      <w:r>
        <w:rPr>
          <w:vertAlign w:val="superscript"/>
        </w:rPr>
        <w:t>89</w:t>
      </w:r>
      <w:r>
        <w:t>.</w:t>
      </w:r>
    </w:p>
    <w:p w14:paraId="4862E058" w14:textId="77777777" w:rsidR="002A14F8" w:rsidRDefault="002A14F8">
      <w:pPr>
        <w:spacing w:line="259" w:lineRule="auto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14457187" w14:textId="77777777" w:rsidR="002A14F8" w:rsidRDefault="003458B8">
      <w:pPr>
        <w:pStyle w:val="Heading1"/>
      </w:pPr>
      <w:bookmarkStart w:id="5" w:name="_bookmark5"/>
      <w:bookmarkEnd w:id="5"/>
      <w:r>
        <w:lastRenderedPageBreak/>
        <w:t>Tāngata</w:t>
      </w:r>
      <w:r>
        <w:rPr>
          <w:spacing w:val="-4"/>
        </w:rPr>
        <w:t xml:space="preserve"> </w:t>
      </w:r>
      <w:r>
        <w:t>Whenua</w:t>
      </w:r>
    </w:p>
    <w:p w14:paraId="47210E8D" w14:textId="77777777" w:rsidR="002A14F8" w:rsidRDefault="003458B8">
      <w:pPr>
        <w:pStyle w:val="BodyText"/>
        <w:spacing w:before="31" w:line="259" w:lineRule="auto"/>
        <w:ind w:left="540" w:right="603"/>
      </w:pPr>
      <w:r>
        <w:t>Due to vast the consultation documents available on Māori sense of belongingness in Aotearoa New</w:t>
      </w:r>
      <w:r>
        <w:rPr>
          <w:spacing w:val="1"/>
        </w:rPr>
        <w:t xml:space="preserve"> </w:t>
      </w:r>
      <w:r>
        <w:t>Zealand, our team resorted to reviewing reports, journal articles, dissertations, and theses that were</w:t>
      </w:r>
      <w:r>
        <w:rPr>
          <w:spacing w:val="1"/>
        </w:rPr>
        <w:t xml:space="preserve"> </w:t>
      </w:r>
      <w:r>
        <w:t xml:space="preserve">published on academic platforms. Academic articles were </w:t>
      </w:r>
      <w:r>
        <w:t>primarily identified via electronic searches</w:t>
      </w:r>
      <w:r>
        <w:rPr>
          <w:spacing w:val="-52"/>
        </w:rPr>
        <w:t xml:space="preserve"> </w:t>
      </w:r>
      <w:r>
        <w:t xml:space="preserve">in indigenous journals such as </w:t>
      </w:r>
      <w:r>
        <w:rPr>
          <w:i/>
        </w:rPr>
        <w:t xml:space="preserve">MAI journal </w:t>
      </w:r>
      <w:r>
        <w:t xml:space="preserve">and </w:t>
      </w:r>
      <w:r>
        <w:rPr>
          <w:i/>
        </w:rPr>
        <w:t>Journal of Indigenous Wellbeing</w:t>
      </w:r>
      <w:r>
        <w:t>, and local journals</w:t>
      </w:r>
      <w:r>
        <w:rPr>
          <w:spacing w:val="1"/>
        </w:rPr>
        <w:t xml:space="preserve"> </w:t>
      </w:r>
      <w:r>
        <w:t xml:space="preserve">such as </w:t>
      </w:r>
      <w:r>
        <w:rPr>
          <w:i/>
        </w:rPr>
        <w:t>New Zealand Journal of Psychology</w:t>
      </w:r>
      <w:r>
        <w:t xml:space="preserve">, </w:t>
      </w:r>
      <w:r>
        <w:rPr>
          <w:i/>
        </w:rPr>
        <w:t>Journal of the Royal Society of New Zealand</w:t>
      </w:r>
      <w:r>
        <w:t>, and</w:t>
      </w:r>
      <w:r>
        <w:rPr>
          <w:spacing w:val="1"/>
        </w:rPr>
        <w:t xml:space="preserve"> </w:t>
      </w:r>
      <w:r>
        <w:rPr>
          <w:i/>
        </w:rPr>
        <w:t>Kōtuitui: New Zealan</w:t>
      </w:r>
      <w:r>
        <w:rPr>
          <w:i/>
        </w:rPr>
        <w:t>d Journal of Social Sciences Online</w:t>
      </w:r>
      <w:r>
        <w:t>; whereas dissertations and theses were</w:t>
      </w:r>
      <w:r>
        <w:rPr>
          <w:spacing w:val="1"/>
        </w:rPr>
        <w:t xml:space="preserve"> </w:t>
      </w:r>
      <w:r>
        <w:t>located via New Zealand research portals. Searches were further extended by going through the</w:t>
      </w:r>
      <w:r>
        <w:rPr>
          <w:spacing w:val="1"/>
        </w:rPr>
        <w:t xml:space="preserve"> </w:t>
      </w:r>
      <w:r>
        <w:t>references cited in articles, and only those that were published within the specific ti</w:t>
      </w:r>
      <w:r>
        <w:t>me frame were</w:t>
      </w:r>
      <w:r>
        <w:rPr>
          <w:spacing w:val="1"/>
        </w:rPr>
        <w:t xml:space="preserve"> </w:t>
      </w:r>
      <w:r>
        <w:t>included for review. A total of 42 documents were examined. Methods used to capture voices of</w:t>
      </w:r>
      <w:r>
        <w:rPr>
          <w:spacing w:val="1"/>
        </w:rPr>
        <w:t xml:space="preserve"> </w:t>
      </w:r>
      <w:r>
        <w:t>Māori communities on their conceptualisation of belongingness were diverse, ranging from surveys,</w:t>
      </w:r>
      <w:r>
        <w:rPr>
          <w:spacing w:val="1"/>
        </w:rPr>
        <w:t xml:space="preserve"> </w:t>
      </w:r>
      <w:r>
        <w:t xml:space="preserve">questionnaires, interviews, focus groups, to case </w:t>
      </w:r>
      <w:r>
        <w:t>studies with most employing kaupapa-Māori</w:t>
      </w:r>
      <w:r>
        <w:rPr>
          <w:spacing w:val="1"/>
        </w:rPr>
        <w:t xml:space="preserve"> </w:t>
      </w:r>
      <w:r>
        <w:t>informed</w:t>
      </w:r>
      <w:r>
        <w:rPr>
          <w:spacing w:val="-1"/>
        </w:rPr>
        <w:t xml:space="preserve"> </w:t>
      </w:r>
      <w:r>
        <w:t>methodologies.</w:t>
      </w:r>
    </w:p>
    <w:p w14:paraId="5A380E23" w14:textId="77777777" w:rsidR="002A14F8" w:rsidRDefault="003458B8">
      <w:pPr>
        <w:pStyle w:val="BodyText"/>
        <w:spacing w:before="159" w:line="259" w:lineRule="auto"/>
        <w:ind w:left="540" w:right="516"/>
      </w:pPr>
      <w:r>
        <w:t>Nationally representative surveys indicated that racism is a prevalent issue, as well as a significant</w:t>
      </w:r>
      <w:r>
        <w:rPr>
          <w:spacing w:val="1"/>
        </w:rPr>
        <w:t xml:space="preserve"> </w:t>
      </w:r>
      <w:r>
        <w:t>social problem, affecting Māori people in contemporary Aotearoa New Zealand</w:t>
      </w:r>
      <w:r>
        <w:rPr>
          <w:vertAlign w:val="superscript"/>
        </w:rPr>
        <w:t>104–107</w:t>
      </w:r>
      <w:r>
        <w:t>. Rac</w:t>
      </w:r>
      <w:r>
        <w:t>ism</w:t>
      </w:r>
      <w:r>
        <w:rPr>
          <w:spacing w:val="1"/>
        </w:rPr>
        <w:t xml:space="preserve"> </w:t>
      </w:r>
      <w:r>
        <w:t>affecting Māori manifests in blatant and latent forms and at personal and institutional levels</w:t>
      </w:r>
      <w:r>
        <w:rPr>
          <w:vertAlign w:val="superscript"/>
        </w:rPr>
        <w:t>106,108</w:t>
      </w:r>
      <w:r>
        <w:t>, and</w:t>
      </w:r>
      <w:r>
        <w:rPr>
          <w:spacing w:val="1"/>
        </w:rPr>
        <w:t xml:space="preserve"> </w:t>
      </w:r>
      <w:r>
        <w:t>all these can denigrate and exclude Māori participation, demean Māori identity, and reinforce the</w:t>
      </w:r>
      <w:r>
        <w:rPr>
          <w:spacing w:val="1"/>
        </w:rPr>
        <w:t xml:space="preserve"> </w:t>
      </w:r>
      <w:r>
        <w:t>disadvantaged position of Māori</w:t>
      </w:r>
      <w:r>
        <w:rPr>
          <w:vertAlign w:val="superscript"/>
        </w:rPr>
        <w:t>106,108</w:t>
      </w:r>
      <w:r>
        <w:t>. Evidenc</w:t>
      </w:r>
      <w:r>
        <w:t>e suggest that those victimised by racism perform</w:t>
      </w:r>
      <w:r>
        <w:rPr>
          <w:spacing w:val="1"/>
        </w:rPr>
        <w:t xml:space="preserve"> </w:t>
      </w:r>
      <w:r>
        <w:t>worse across a range of wellbeing outcomes, from less satisfaction with healthcare access,</w:t>
      </w:r>
      <w:r>
        <w:rPr>
          <w:spacing w:val="1"/>
        </w:rPr>
        <w:t xml:space="preserve"> </w:t>
      </w:r>
      <w:r>
        <w:t>employment, standard of living and relationships to lower levels of education attainment, job security,</w:t>
      </w:r>
      <w:r>
        <w:rPr>
          <w:spacing w:val="-52"/>
        </w:rPr>
        <w:t xml:space="preserve"> </w:t>
      </w:r>
      <w:r>
        <w:t>home owners</w:t>
      </w:r>
      <w:r>
        <w:t>hip, life satisfaction, mental health (e.g., increased depressive symptoms and suicide</w:t>
      </w:r>
      <w:r>
        <w:rPr>
          <w:spacing w:val="1"/>
        </w:rPr>
        <w:t xml:space="preserve"> </w:t>
      </w:r>
      <w:r>
        <w:t>attempts</w:t>
      </w:r>
      <w:r>
        <w:rPr>
          <w:vertAlign w:val="superscript"/>
        </w:rPr>
        <w:t>4</w:t>
      </w:r>
      <w:r>
        <w:t>), physical health, and spiritual health</w:t>
      </w:r>
      <w:r>
        <w:rPr>
          <w:vertAlign w:val="superscript"/>
        </w:rPr>
        <w:t>104–107,109</w:t>
      </w:r>
      <w:r>
        <w:t>. Racism also deters Māori from embracing or</w:t>
      </w:r>
      <w:r>
        <w:rPr>
          <w:spacing w:val="1"/>
        </w:rPr>
        <w:t xml:space="preserve"> </w:t>
      </w:r>
      <w:r>
        <w:t xml:space="preserve">enhancing aspects of cultural identities, including learning te </w:t>
      </w:r>
      <w:r>
        <w:t>reo Māori</w:t>
      </w:r>
      <w:r>
        <w:rPr>
          <w:vertAlign w:val="superscript"/>
        </w:rPr>
        <w:t>110</w:t>
      </w:r>
      <w:r>
        <w:t>. Māori who have</w:t>
      </w:r>
      <w:r>
        <w:rPr>
          <w:spacing w:val="1"/>
        </w:rPr>
        <w:t xml:space="preserve"> </w:t>
      </w:r>
      <w:r>
        <w:t>experienced repeated exposure to racism may take a longer process before considering if they wish to</w:t>
      </w:r>
      <w:r>
        <w:rPr>
          <w:spacing w:val="1"/>
        </w:rPr>
        <w:t xml:space="preserve"> </w:t>
      </w:r>
      <w:r>
        <w:t>identify as Māori and may choose to pass as Pākehā to avoid discrimination. Education systems that</w:t>
      </w:r>
      <w:r>
        <w:rPr>
          <w:spacing w:val="1"/>
        </w:rPr>
        <w:t xml:space="preserve"> </w:t>
      </w:r>
      <w:r>
        <w:t>privilege knowledge from do</w:t>
      </w:r>
      <w:r>
        <w:t>minant culture in academia, and use racist interpretations often create</w:t>
      </w:r>
      <w:r>
        <w:rPr>
          <w:spacing w:val="1"/>
        </w:rPr>
        <w:t xml:space="preserve"> </w:t>
      </w:r>
      <w:r>
        <w:t>cultural dissonances</w:t>
      </w:r>
      <w:r>
        <w:rPr>
          <w:vertAlign w:val="superscript"/>
        </w:rPr>
        <w:t>111</w:t>
      </w:r>
      <w:r>
        <w:t>, and systematically undermine Māori knowledge and experiences</w:t>
      </w:r>
      <w:r>
        <w:rPr>
          <w:vertAlign w:val="superscript"/>
        </w:rPr>
        <w:t>4</w:t>
      </w:r>
      <w:r>
        <w:t>. The</w:t>
      </w:r>
      <w:r>
        <w:rPr>
          <w:spacing w:val="1"/>
        </w:rPr>
        <w:t xml:space="preserve"> </w:t>
      </w:r>
      <w:r>
        <w:t>introduction of bicultural curriculum, integration of tikanga Māori in teaching, and more ed</w:t>
      </w:r>
      <w:r>
        <w:t>ucation</w:t>
      </w:r>
      <w:r>
        <w:rPr>
          <w:spacing w:val="1"/>
        </w:rPr>
        <w:t xml:space="preserve"> </w:t>
      </w:r>
      <w:r>
        <w:t>around Māori cultural history, Te Tiriti o Waitangi and the Declaration of Independence, colonisation,</w:t>
      </w:r>
      <w:r>
        <w:rPr>
          <w:spacing w:val="-52"/>
        </w:rPr>
        <w:t xml:space="preserve"> </w:t>
      </w:r>
      <w:r>
        <w:t>and tribal specific teachings is key to ensuring that important cultural knowledge is passed on through</w:t>
      </w:r>
      <w:r>
        <w:rPr>
          <w:spacing w:val="-52"/>
        </w:rPr>
        <w:t xml:space="preserve"> </w:t>
      </w:r>
      <w:r>
        <w:t>generations</w:t>
      </w:r>
      <w:r>
        <w:rPr>
          <w:vertAlign w:val="superscript"/>
        </w:rPr>
        <w:t>111–115</w:t>
      </w:r>
      <w:r>
        <w:t>. The educational system that was constructed in a post-colonial Pākehā power</w:t>
      </w:r>
      <w:r>
        <w:rPr>
          <w:spacing w:val="1"/>
        </w:rPr>
        <w:t xml:space="preserve"> </w:t>
      </w:r>
      <w:r>
        <w:t>structure wherein the equality inherent in the Treaty is sidelined would continue to marginalise Māori</w:t>
      </w:r>
      <w:r>
        <w:rPr>
          <w:spacing w:val="1"/>
        </w:rPr>
        <w:t xml:space="preserve"> </w:t>
      </w:r>
      <w:r>
        <w:t>culture</w:t>
      </w:r>
      <w:r>
        <w:rPr>
          <w:vertAlign w:val="superscript"/>
        </w:rPr>
        <w:t>116</w:t>
      </w:r>
      <w:r>
        <w:t>. Normalisation of Māori culture in the education system can assi</w:t>
      </w:r>
      <w:r>
        <w:t>st Māori in perceiving</w:t>
      </w:r>
      <w:r>
        <w:rPr>
          <w:spacing w:val="1"/>
        </w:rPr>
        <w:t xml:space="preserve"> </w:t>
      </w:r>
      <w:r>
        <w:t>culture as a symbol of identity, rather than a token to leave at the gates</w:t>
      </w:r>
      <w:r>
        <w:rPr>
          <w:vertAlign w:val="superscript"/>
        </w:rPr>
        <w:t>113</w:t>
      </w:r>
      <w:r>
        <w:t>. The urgency to which the</w:t>
      </w:r>
      <w:r>
        <w:rPr>
          <w:spacing w:val="1"/>
        </w:rPr>
        <w:t xml:space="preserve"> </w:t>
      </w:r>
      <w:r>
        <w:t>government and its agencies need to identify and take action to eliminate discrimination towards</w:t>
      </w:r>
      <w:r>
        <w:rPr>
          <w:spacing w:val="1"/>
        </w:rPr>
        <w:t xml:space="preserve"> </w:t>
      </w:r>
      <w:r>
        <w:t>Māori,</w:t>
      </w:r>
      <w:r>
        <w:rPr>
          <w:spacing w:val="2"/>
        </w:rPr>
        <w:t xml:space="preserve"> </w:t>
      </w:r>
      <w:r>
        <w:t>aligns</w:t>
      </w:r>
      <w:r>
        <w:rPr>
          <w:spacing w:val="3"/>
        </w:rPr>
        <w:t xml:space="preserve"> </w:t>
      </w:r>
      <w:r>
        <w:t>with</w:t>
      </w:r>
      <w:r>
        <w:rPr>
          <w:spacing w:val="3"/>
        </w:rPr>
        <w:t xml:space="preserve"> </w:t>
      </w:r>
      <w:r>
        <w:t>obligations</w:t>
      </w:r>
      <w:r>
        <w:rPr>
          <w:spacing w:val="3"/>
        </w:rPr>
        <w:t xml:space="preserve"> </w:t>
      </w:r>
      <w:r>
        <w:t>u</w:t>
      </w:r>
      <w:r>
        <w:t>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Treaty of</w:t>
      </w:r>
      <w:r>
        <w:rPr>
          <w:spacing w:val="3"/>
        </w:rPr>
        <w:t xml:space="preserve"> </w:t>
      </w:r>
      <w:r>
        <w:t>Waitangi</w:t>
      </w:r>
      <w:r>
        <w:rPr>
          <w:spacing w:val="4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various</w:t>
      </w:r>
      <w:r>
        <w:rPr>
          <w:spacing w:val="3"/>
        </w:rPr>
        <w:t xml:space="preserve"> </w:t>
      </w:r>
      <w:r>
        <w:t>human</w:t>
      </w:r>
      <w:r>
        <w:rPr>
          <w:spacing w:val="3"/>
        </w:rPr>
        <w:t xml:space="preserve"> </w:t>
      </w:r>
      <w:r>
        <w:t>rights</w:t>
      </w:r>
      <w:r>
        <w:rPr>
          <w:spacing w:val="3"/>
        </w:rPr>
        <w:t xml:space="preserve"> </w:t>
      </w:r>
      <w:r>
        <w:t>conventions</w:t>
      </w:r>
      <w:r>
        <w:rPr>
          <w:spacing w:val="1"/>
        </w:rPr>
        <w:t xml:space="preserve"> </w:t>
      </w:r>
      <w:r>
        <w:t>and declarations, to realise Māori rights to live free from discrimination. There needs to be structural</w:t>
      </w:r>
      <w:r>
        <w:rPr>
          <w:spacing w:val="1"/>
        </w:rPr>
        <w:t xml:space="preserve"> </w:t>
      </w:r>
      <w:r>
        <w:t>commitments to disrupt status quo research, policies, programmes, and service provisio</w:t>
      </w:r>
      <w:r>
        <w:t>ns that</w:t>
      </w:r>
      <w:r>
        <w:rPr>
          <w:spacing w:val="1"/>
        </w:rPr>
        <w:t xml:space="preserve"> </w:t>
      </w:r>
      <w:r>
        <w:t>perpetuate</w:t>
      </w:r>
      <w:r>
        <w:rPr>
          <w:spacing w:val="-3"/>
        </w:rPr>
        <w:t xml:space="preserve"> </w:t>
      </w:r>
      <w:r>
        <w:t>discrimination and</w:t>
      </w:r>
      <w:r>
        <w:rPr>
          <w:spacing w:val="-1"/>
        </w:rPr>
        <w:t xml:space="preserve"> </w:t>
      </w:r>
      <w:r>
        <w:t>result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inequitable</w:t>
      </w:r>
      <w:r>
        <w:rPr>
          <w:spacing w:val="-2"/>
        </w:rPr>
        <w:t xml:space="preserve"> </w:t>
      </w:r>
      <w:r>
        <w:t>outcomes for</w:t>
      </w:r>
      <w:r>
        <w:rPr>
          <w:spacing w:val="-1"/>
        </w:rPr>
        <w:t xml:space="preserve"> </w:t>
      </w:r>
      <w:r>
        <w:t>Māori</w:t>
      </w:r>
      <w:r>
        <w:rPr>
          <w:vertAlign w:val="superscript"/>
        </w:rPr>
        <w:t>104,107</w:t>
      </w:r>
      <w:r>
        <w:t>.</w:t>
      </w:r>
    </w:p>
    <w:p w14:paraId="33834987" w14:textId="77777777" w:rsidR="002A14F8" w:rsidRDefault="003458B8">
      <w:pPr>
        <w:pStyle w:val="BodyText"/>
        <w:spacing w:before="155" w:line="259" w:lineRule="auto"/>
        <w:ind w:left="540" w:right="798"/>
      </w:pPr>
      <w:r>
        <w:t>It is crucial to ensure Māori have access to Māori culture and resources</w:t>
      </w:r>
      <w:r>
        <w:rPr>
          <w:vertAlign w:val="superscript"/>
        </w:rPr>
        <w:t>106,117</w:t>
      </w:r>
      <w:r>
        <w:t>. Increased cultural</w:t>
      </w:r>
      <w:r>
        <w:rPr>
          <w:spacing w:val="1"/>
        </w:rPr>
        <w:t xml:space="preserve"> </w:t>
      </w:r>
      <w:r>
        <w:t xml:space="preserve">efficacy (one’s confidence to competently engage in te ao Māori (the </w:t>
      </w:r>
      <w:r>
        <w:t>Māori world) or the ability to</w:t>
      </w:r>
      <w:r>
        <w:rPr>
          <w:spacing w:val="-52"/>
        </w:rPr>
        <w:t xml:space="preserve"> </w:t>
      </w:r>
      <w:r>
        <w:t>navigate the Māori world) and Māori cultural embeddedness (degree and intensity of cultural</w:t>
      </w:r>
      <w:r>
        <w:rPr>
          <w:spacing w:val="1"/>
        </w:rPr>
        <w:t xml:space="preserve"> </w:t>
      </w:r>
      <w:r>
        <w:t>identification)</w:t>
      </w:r>
      <w:r>
        <w:rPr>
          <w:spacing w:val="-2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linked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enhanced</w:t>
      </w:r>
      <w:r>
        <w:rPr>
          <w:spacing w:val="-1"/>
        </w:rPr>
        <w:t xml:space="preserve"> </w:t>
      </w:r>
      <w:r>
        <w:t>psychological</w:t>
      </w:r>
      <w:r>
        <w:rPr>
          <w:spacing w:val="-1"/>
        </w:rPr>
        <w:t xml:space="preserve"> </w:t>
      </w:r>
      <w:r>
        <w:t>resilience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mental health</w:t>
      </w:r>
      <w:r>
        <w:rPr>
          <w:vertAlign w:val="superscript"/>
        </w:rPr>
        <w:t>112,118–120</w:t>
      </w:r>
      <w:r>
        <w:t>.</w:t>
      </w:r>
    </w:p>
    <w:p w14:paraId="4EA8A0B3" w14:textId="77777777" w:rsidR="002A14F8" w:rsidRDefault="003458B8">
      <w:pPr>
        <w:pStyle w:val="BodyText"/>
        <w:spacing w:line="259" w:lineRule="auto"/>
        <w:ind w:left="540" w:right="492"/>
      </w:pPr>
      <w:r>
        <w:t>Fostering social bonds and whakapapa (genealogy) through whanaungatanga (shared relational bonds)</w:t>
      </w:r>
      <w:r>
        <w:rPr>
          <w:spacing w:val="-52"/>
        </w:rPr>
        <w:t xml:space="preserve"> </w:t>
      </w:r>
      <w:r>
        <w:t>are central to the Māori individual and collective identities</w:t>
      </w:r>
      <w:r>
        <w:rPr>
          <w:vertAlign w:val="superscript"/>
        </w:rPr>
        <w:t>25,113,116,121–126</w:t>
      </w:r>
      <w:r>
        <w:t>. This relational notion of self</w:t>
      </w:r>
      <w:r>
        <w:rPr>
          <w:spacing w:val="1"/>
        </w:rPr>
        <w:t xml:space="preserve"> </w:t>
      </w:r>
      <w:r>
        <w:t>is important for Māori to “break the cycles” o</w:t>
      </w:r>
      <w:r>
        <w:t>r buffer against whānau living in economic hardship</w:t>
      </w:r>
      <w:r>
        <w:rPr>
          <w:spacing w:val="1"/>
        </w:rPr>
        <w:t xml:space="preserve"> </w:t>
      </w:r>
      <w:r>
        <w:t>from adversity and negative portrayals, as well as act as resources for rangatahi (youth) Māori to</w:t>
      </w:r>
      <w:r>
        <w:rPr>
          <w:spacing w:val="1"/>
        </w:rPr>
        <w:t xml:space="preserve"> </w:t>
      </w:r>
      <w:r>
        <w:t>develop their cultural identities</w:t>
      </w:r>
      <w:r>
        <w:rPr>
          <w:vertAlign w:val="superscript"/>
        </w:rPr>
        <w:t>117,124,127</w:t>
      </w:r>
      <w:r>
        <w:t>. There is evidence that where Māori have an established soci</w:t>
      </w:r>
      <w:r>
        <w:t>al</w:t>
      </w:r>
      <w:r>
        <w:rPr>
          <w:spacing w:val="-52"/>
        </w:rPr>
        <w:t xml:space="preserve"> </w:t>
      </w:r>
      <w:r>
        <w:t>network,</w:t>
      </w:r>
      <w:r>
        <w:rPr>
          <w:spacing w:val="-2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likely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supported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goals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individual</w:t>
      </w:r>
      <w:r>
        <w:rPr>
          <w:spacing w:val="-1"/>
        </w:rPr>
        <w:t xml:space="preserve"> </w:t>
      </w:r>
      <w:r>
        <w:t>achievement in</w:t>
      </w:r>
      <w:r>
        <w:rPr>
          <w:spacing w:val="-1"/>
        </w:rPr>
        <w:t xml:space="preserve"> </w:t>
      </w:r>
      <w:r>
        <w:t>education</w:t>
      </w:r>
    </w:p>
    <w:p w14:paraId="3629D901" w14:textId="77777777" w:rsidR="002A14F8" w:rsidRDefault="002A14F8">
      <w:pPr>
        <w:spacing w:line="259" w:lineRule="auto"/>
        <w:sectPr w:rsidR="002A14F8">
          <w:pgSz w:w="11910" w:h="16840"/>
          <w:pgMar w:top="1360" w:right="940" w:bottom="1200" w:left="900" w:header="0" w:footer="1010" w:gutter="0"/>
          <w:cols w:space="720"/>
        </w:sectPr>
      </w:pPr>
    </w:p>
    <w:p w14:paraId="7E76DD5E" w14:textId="77777777" w:rsidR="002A14F8" w:rsidRDefault="003458B8">
      <w:pPr>
        <w:pStyle w:val="BodyText"/>
        <w:spacing w:before="78" w:line="259" w:lineRule="auto"/>
        <w:ind w:left="540" w:right="681"/>
      </w:pPr>
      <w:r>
        <w:lastRenderedPageBreak/>
        <w:t>and career</w:t>
      </w:r>
      <w:r>
        <w:rPr>
          <w:vertAlign w:val="superscript"/>
        </w:rPr>
        <w:t>127</w:t>
      </w:r>
      <w:r>
        <w:t>, and being able to emulate attributes such as awhi (embrace), manaaki (care) and aroha</w:t>
      </w:r>
      <w:r>
        <w:rPr>
          <w:spacing w:val="-52"/>
        </w:rPr>
        <w:t xml:space="preserve"> </w:t>
      </w:r>
      <w:r>
        <w:t>(love) that is crucial for their</w:t>
      </w:r>
      <w:r>
        <w:t xml:space="preserve"> identity development</w:t>
      </w:r>
      <w:r>
        <w:rPr>
          <w:vertAlign w:val="superscript"/>
        </w:rPr>
        <w:t>122</w:t>
      </w:r>
      <w:r>
        <w:t>. Knowing one’s whakapapa also provides a</w:t>
      </w:r>
      <w:r>
        <w:rPr>
          <w:spacing w:val="1"/>
        </w:rPr>
        <w:t xml:space="preserve"> </w:t>
      </w:r>
      <w:r>
        <w:t>sense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belonging,</w:t>
      </w:r>
      <w:r>
        <w:rPr>
          <w:spacing w:val="-1"/>
        </w:rPr>
        <w:t xml:space="preserve"> </w:t>
      </w:r>
      <w:r>
        <w:t>affinity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membership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particular</w:t>
      </w:r>
      <w:r>
        <w:rPr>
          <w:spacing w:val="-3"/>
        </w:rPr>
        <w:t xml:space="preserve"> </w:t>
      </w:r>
      <w:r>
        <w:t>iwi</w:t>
      </w:r>
      <w:r>
        <w:rPr>
          <w:spacing w:val="-2"/>
        </w:rPr>
        <w:t xml:space="preserve"> </w:t>
      </w:r>
      <w:r>
        <w:t>(tribes)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hapū</w:t>
      </w:r>
      <w:r>
        <w:rPr>
          <w:spacing w:val="-2"/>
        </w:rPr>
        <w:t xml:space="preserve"> </w:t>
      </w:r>
      <w:r>
        <w:t>(sub-tribes)</w:t>
      </w:r>
      <w:r>
        <w:rPr>
          <w:vertAlign w:val="superscript"/>
        </w:rPr>
        <w:t>128</w:t>
      </w:r>
      <w:r>
        <w:t>.</w:t>
      </w:r>
    </w:p>
    <w:p w14:paraId="31174F78" w14:textId="77777777" w:rsidR="002A14F8" w:rsidRDefault="003458B8">
      <w:pPr>
        <w:pStyle w:val="BodyText"/>
        <w:spacing w:before="159" w:line="259" w:lineRule="auto"/>
        <w:ind w:left="540" w:right="520"/>
      </w:pPr>
      <w:r>
        <w:t>Systems that are established on non-Māori philosophies, culture, and values are unrealistic for Māori,</w:t>
      </w:r>
      <w:r>
        <w:rPr>
          <w:spacing w:val="1"/>
        </w:rPr>
        <w:t xml:space="preserve"> </w:t>
      </w:r>
      <w:r>
        <w:t>and the imbalance of power relations continues to intrude Māori rights and diminish cultural</w:t>
      </w:r>
      <w:r>
        <w:rPr>
          <w:spacing w:val="1"/>
        </w:rPr>
        <w:t xml:space="preserve"> </w:t>
      </w:r>
      <w:r>
        <w:t>integrity</w:t>
      </w:r>
      <w:r>
        <w:rPr>
          <w:vertAlign w:val="superscript"/>
        </w:rPr>
        <w:t>108,129,130</w:t>
      </w:r>
      <w:r>
        <w:t>. Now is an era of cultural reclamation for Māori</w:t>
      </w:r>
      <w:r>
        <w:rPr>
          <w:vertAlign w:val="superscript"/>
        </w:rPr>
        <w:t>121</w:t>
      </w:r>
      <w:r>
        <w:t>, and there is a need to shift away</w:t>
      </w:r>
      <w:r>
        <w:rPr>
          <w:spacing w:val="1"/>
        </w:rPr>
        <w:t xml:space="preserve"> </w:t>
      </w:r>
      <w:r>
        <w:t>from the featuring of Māori in negative social statisti</w:t>
      </w:r>
      <w:r>
        <w:t>cs</w:t>
      </w:r>
      <w:r>
        <w:rPr>
          <w:vertAlign w:val="superscript"/>
        </w:rPr>
        <w:t>112</w:t>
      </w:r>
      <w:r>
        <w:t>, deficit approach, and problem-focused</w:t>
      </w:r>
      <w:r>
        <w:rPr>
          <w:spacing w:val="1"/>
        </w:rPr>
        <w:t xml:space="preserve"> </w:t>
      </w:r>
      <w:r>
        <w:t>orientation that blame Māori without recognising the root causes of social inequity and</w:t>
      </w:r>
      <w:r>
        <w:rPr>
          <w:spacing w:val="1"/>
        </w:rPr>
        <w:t xml:space="preserve"> </w:t>
      </w:r>
      <w:r>
        <w:t>disadvantage</w:t>
      </w:r>
      <w:r>
        <w:rPr>
          <w:vertAlign w:val="superscript"/>
        </w:rPr>
        <w:t>124,129,131–133</w:t>
      </w:r>
      <w:r>
        <w:t>, but to construct Māori identity as a site of strength and hope</w:t>
      </w:r>
      <w:r>
        <w:rPr>
          <w:vertAlign w:val="superscript"/>
        </w:rPr>
        <w:t>108,115,134</w:t>
      </w:r>
      <w:r>
        <w:t>. This</w:t>
      </w:r>
      <w:r>
        <w:rPr>
          <w:spacing w:val="1"/>
        </w:rPr>
        <w:t xml:space="preserve"> </w:t>
      </w:r>
      <w:r>
        <w:t>can be achieve</w:t>
      </w:r>
      <w:r>
        <w:t>d by carrying out holistic and strengths-based research based on traditional tikanga</w:t>
      </w:r>
      <w:r>
        <w:rPr>
          <w:spacing w:val="1"/>
        </w:rPr>
        <w:t xml:space="preserve"> </w:t>
      </w:r>
      <w:r>
        <w:t>Māori</w:t>
      </w:r>
      <w:r>
        <w:rPr>
          <w:vertAlign w:val="superscript"/>
        </w:rPr>
        <w:t>124,128</w:t>
      </w:r>
      <w:r>
        <w:t>, understanding the interactions between Māori culture and colonialism</w:t>
      </w:r>
      <w:r>
        <w:rPr>
          <w:vertAlign w:val="superscript"/>
        </w:rPr>
        <w:t>129</w:t>
      </w:r>
      <w:r>
        <w:t>, and fostering</w:t>
      </w:r>
      <w:r>
        <w:rPr>
          <w:spacing w:val="1"/>
        </w:rPr>
        <w:t xml:space="preserve"> </w:t>
      </w:r>
      <w:r>
        <w:t>tino rangatiratanga (sovereignty) by encouraging community-led initiat</w:t>
      </w:r>
      <w:r>
        <w:t>ives</w:t>
      </w:r>
      <w:r>
        <w:rPr>
          <w:vertAlign w:val="superscript"/>
        </w:rPr>
        <w:t>134</w:t>
      </w:r>
      <w:r>
        <w:t>. Decolonisation or</w:t>
      </w:r>
      <w:r>
        <w:rPr>
          <w:spacing w:val="1"/>
        </w:rPr>
        <w:t xml:space="preserve"> </w:t>
      </w:r>
      <w:r>
        <w:t>claiming Māori culture and identity as strengths allows Māori people to be positioned as resisting the</w:t>
      </w:r>
      <w:r>
        <w:rPr>
          <w:spacing w:val="1"/>
        </w:rPr>
        <w:t xml:space="preserve"> </w:t>
      </w:r>
      <w:r>
        <w:t>perpetuation of such colonising practices</w:t>
      </w:r>
      <w:r>
        <w:rPr>
          <w:vertAlign w:val="superscript"/>
        </w:rPr>
        <w:t>108,135</w:t>
      </w:r>
      <w:r>
        <w:t>. The recognition of colonial history also renders visible</w:t>
      </w:r>
      <w:r>
        <w:rPr>
          <w:spacing w:val="-52"/>
        </w:rPr>
        <w:t xml:space="preserve"> </w:t>
      </w:r>
      <w:r>
        <w:t>the ways in which i</w:t>
      </w:r>
      <w:r>
        <w:t>t has disrupted the cultural ways of relatedness embedded within Māori social</w:t>
      </w:r>
      <w:r>
        <w:rPr>
          <w:spacing w:val="1"/>
        </w:rPr>
        <w:t xml:space="preserve"> </w:t>
      </w:r>
      <w:r>
        <w:t>structures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has been</w:t>
      </w:r>
      <w:r>
        <w:rPr>
          <w:spacing w:val="-2"/>
        </w:rPr>
        <w:t xml:space="preserve"> </w:t>
      </w:r>
      <w:r>
        <w:t>reshaped</w:t>
      </w:r>
      <w:r>
        <w:rPr>
          <w:spacing w:val="-3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decades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assimilation</w:t>
      </w:r>
      <w:r>
        <w:rPr>
          <w:vertAlign w:val="superscript"/>
        </w:rPr>
        <w:t>129</w:t>
      </w:r>
      <w:r>
        <w:t>.</w:t>
      </w:r>
    </w:p>
    <w:p w14:paraId="66506CDB" w14:textId="77777777" w:rsidR="002A14F8" w:rsidRDefault="003458B8">
      <w:pPr>
        <w:pStyle w:val="BodyText"/>
        <w:spacing w:before="157" w:line="259" w:lineRule="auto"/>
        <w:ind w:left="540" w:right="594"/>
      </w:pPr>
      <w:r>
        <w:t>Continuous reclaiming of traditional Māori knowledge and practices is necessary by allowing</w:t>
      </w:r>
      <w:r>
        <w:rPr>
          <w:spacing w:val="1"/>
        </w:rPr>
        <w:t xml:space="preserve"> </w:t>
      </w:r>
      <w:r>
        <w:t>rangatahi Māori</w:t>
      </w:r>
      <w:r>
        <w:t xml:space="preserve"> to heal, connect and recognise colonialism to have enduring effects on Māori</w:t>
      </w:r>
      <w:r>
        <w:rPr>
          <w:spacing w:val="1"/>
        </w:rPr>
        <w:t xml:space="preserve"> </w:t>
      </w:r>
      <w:r>
        <w:t>people</w:t>
      </w:r>
      <w:r>
        <w:rPr>
          <w:vertAlign w:val="superscript"/>
        </w:rPr>
        <w:t>108</w:t>
      </w:r>
      <w:r>
        <w:t>. Encouraging rangatahi Māori to become more engaged and embedded within their culture</w:t>
      </w:r>
      <w:r>
        <w:rPr>
          <w:spacing w:val="1"/>
        </w:rPr>
        <w:t xml:space="preserve"> </w:t>
      </w:r>
      <w:r>
        <w:t>whilst being able to exercise their tino rangatiratanga can help to build resilien</w:t>
      </w:r>
      <w:r>
        <w:t>ce and wellbeing</w:t>
      </w:r>
      <w:r>
        <w:rPr>
          <w:spacing w:val="1"/>
        </w:rPr>
        <w:t xml:space="preserve"> </w:t>
      </w:r>
      <w:r>
        <w:t>through the development of adaptive coping strategies through collective efforts from whānau, hapū,</w:t>
      </w:r>
      <w:r>
        <w:rPr>
          <w:spacing w:val="1"/>
        </w:rPr>
        <w:t xml:space="preserve"> </w:t>
      </w:r>
      <w:r>
        <w:t>and iwi</w:t>
      </w:r>
      <w:r>
        <w:rPr>
          <w:vertAlign w:val="superscript"/>
        </w:rPr>
        <w:t>118,135</w:t>
      </w:r>
      <w:r>
        <w:t>. These engagements include: learning te reo Māori me ōna tikanga (Māori language and</w:t>
      </w:r>
      <w:r>
        <w:rPr>
          <w:spacing w:val="-52"/>
        </w:rPr>
        <w:t xml:space="preserve"> </w:t>
      </w:r>
      <w:r>
        <w:t>customs); fostering connections with Mā</w:t>
      </w:r>
      <w:r>
        <w:t>ori whānau and friends, linking the rangatahi to important</w:t>
      </w:r>
      <w:r>
        <w:rPr>
          <w:spacing w:val="1"/>
        </w:rPr>
        <w:t xml:space="preserve"> </w:t>
      </w:r>
      <w:r>
        <w:t>geographical sites such as mārae, maunga, awa, and moana from which their iwi, hapū and whānau</w:t>
      </w:r>
      <w:r>
        <w:rPr>
          <w:spacing w:val="1"/>
        </w:rPr>
        <w:t xml:space="preserve"> </w:t>
      </w:r>
      <w:r>
        <w:t>originate (as locating oneself within these physical elements fosters a deeper sense of belonging,</w:t>
      </w:r>
      <w:r>
        <w:rPr>
          <w:spacing w:val="1"/>
        </w:rPr>
        <w:t xml:space="preserve"> </w:t>
      </w:r>
      <w:r>
        <w:t>cul</w:t>
      </w:r>
      <w:r>
        <w:t>tural responsibility, and connectedness with the land); reconnecting with their iwi social systems;</w:t>
      </w:r>
      <w:r>
        <w:rPr>
          <w:spacing w:val="1"/>
        </w:rPr>
        <w:t xml:space="preserve"> </w:t>
      </w:r>
      <w:r>
        <w:t>upholding the tapu nature of the homeland through kaitiakitanga (guardianship) that enable the mauri</w:t>
      </w:r>
      <w:r>
        <w:rPr>
          <w:spacing w:val="-52"/>
        </w:rPr>
        <w:t xml:space="preserve"> </w:t>
      </w:r>
      <w:r>
        <w:t>of the whenua to flourish; and relearning the teachings</w:t>
      </w:r>
      <w:r>
        <w:t xml:space="preserve"> of tūpuna (ancestors) through kōrero tuku iho</w:t>
      </w:r>
      <w:r>
        <w:rPr>
          <w:spacing w:val="1"/>
        </w:rPr>
        <w:t xml:space="preserve"> </w:t>
      </w:r>
      <w:r>
        <w:t>(traditional stories or myths) to counter the trauma, isolation, and poverty that has trickled down the</w:t>
      </w:r>
      <w:r>
        <w:rPr>
          <w:spacing w:val="1"/>
        </w:rPr>
        <w:t xml:space="preserve"> </w:t>
      </w:r>
      <w:r>
        <w:t>generations following colonisation, and developing greater awareness of cultural similarities and</w:t>
      </w:r>
      <w:r>
        <w:rPr>
          <w:spacing w:val="1"/>
        </w:rPr>
        <w:t xml:space="preserve"> </w:t>
      </w:r>
      <w:r>
        <w:rPr>
          <w:position w:val="-7"/>
        </w:rPr>
        <w:t>differences</w:t>
      </w:r>
      <w:r>
        <w:rPr>
          <w:sz w:val="14"/>
        </w:rPr>
        <w:t>112,118,120,121,128,129,136,137</w:t>
      </w:r>
      <w:r>
        <w:rPr>
          <w:position w:val="-7"/>
        </w:rPr>
        <w:t>.</w:t>
      </w:r>
    </w:p>
    <w:p w14:paraId="366D0B97" w14:textId="77777777" w:rsidR="002A14F8" w:rsidRDefault="003458B8">
      <w:pPr>
        <w:pStyle w:val="BodyText"/>
        <w:spacing w:before="152" w:line="259" w:lineRule="auto"/>
        <w:ind w:left="540" w:right="650"/>
      </w:pPr>
      <w:r>
        <w:t>Providing cultural spaces that endorse a Māori worldview and ensuring those who work closely with</w:t>
      </w:r>
      <w:r>
        <w:rPr>
          <w:spacing w:val="-52"/>
        </w:rPr>
        <w:t xml:space="preserve"> </w:t>
      </w:r>
      <w:r>
        <w:t xml:space="preserve">rangatahi Māori </w:t>
      </w:r>
      <w:r>
        <w:t>are practicing in a culturally safe and respectful manner are important for rangatahi</w:t>
      </w:r>
      <w:r>
        <w:rPr>
          <w:spacing w:val="1"/>
        </w:rPr>
        <w:t xml:space="preserve"> </w:t>
      </w:r>
      <w:r>
        <w:t>Māori development.</w:t>
      </w:r>
      <w:r>
        <w:rPr>
          <w:spacing w:val="-3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include:</w:t>
      </w:r>
    </w:p>
    <w:p w14:paraId="10626744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159" w:line="254" w:lineRule="auto"/>
        <w:ind w:right="526"/>
        <w:rPr>
          <w:sz w:val="21"/>
        </w:rPr>
      </w:pPr>
      <w:r>
        <w:rPr>
          <w:sz w:val="21"/>
        </w:rPr>
        <w:t>increasing a sense of cultural belongingness in kura kaupapa, wānanga, polytechnics, and</w:t>
      </w:r>
      <w:r>
        <w:rPr>
          <w:spacing w:val="1"/>
          <w:sz w:val="21"/>
        </w:rPr>
        <w:t xml:space="preserve"> </w:t>
      </w:r>
      <w:r>
        <w:rPr>
          <w:sz w:val="21"/>
        </w:rPr>
        <w:t>universities</w:t>
      </w:r>
      <w:r>
        <w:rPr>
          <w:position w:val="7"/>
          <w:sz w:val="14"/>
        </w:rPr>
        <w:t xml:space="preserve">109,138,139 </w:t>
      </w:r>
      <w:r>
        <w:rPr>
          <w:sz w:val="21"/>
        </w:rPr>
        <w:t>through the open discus</w:t>
      </w:r>
      <w:r>
        <w:rPr>
          <w:sz w:val="21"/>
        </w:rPr>
        <w:t>sion of racism against Māori; countering of negative</w:t>
      </w:r>
      <w:r>
        <w:rPr>
          <w:spacing w:val="1"/>
          <w:sz w:val="21"/>
        </w:rPr>
        <w:t xml:space="preserve"> </w:t>
      </w:r>
      <w:r>
        <w:rPr>
          <w:sz w:val="21"/>
        </w:rPr>
        <w:t>Māori representation in media, and teaching cultural expectations in a way which allow Māori and</w:t>
      </w:r>
      <w:r>
        <w:rPr>
          <w:spacing w:val="-50"/>
          <w:sz w:val="21"/>
        </w:rPr>
        <w:t xml:space="preserve"> </w:t>
      </w:r>
      <w:r>
        <w:rPr>
          <w:sz w:val="21"/>
        </w:rPr>
        <w:t>Pākehā</w:t>
      </w:r>
      <w:r>
        <w:rPr>
          <w:spacing w:val="-1"/>
          <w:sz w:val="21"/>
        </w:rPr>
        <w:t xml:space="preserve"> </w:t>
      </w:r>
      <w:r>
        <w:rPr>
          <w:sz w:val="21"/>
        </w:rPr>
        <w:t>to intermingle with</w:t>
      </w:r>
      <w:r>
        <w:rPr>
          <w:spacing w:val="-1"/>
          <w:sz w:val="21"/>
        </w:rPr>
        <w:t xml:space="preserve"> </w:t>
      </w:r>
      <w:r>
        <w:rPr>
          <w:sz w:val="21"/>
        </w:rPr>
        <w:t>mutual</w:t>
      </w:r>
      <w:r>
        <w:rPr>
          <w:spacing w:val="-1"/>
          <w:sz w:val="21"/>
        </w:rPr>
        <w:t xml:space="preserve"> </w:t>
      </w:r>
      <w:r>
        <w:rPr>
          <w:sz w:val="21"/>
        </w:rPr>
        <w:t>appreciation, empathy</w:t>
      </w:r>
      <w:r>
        <w:rPr>
          <w:spacing w:val="-4"/>
          <w:sz w:val="21"/>
        </w:rPr>
        <w:t xml:space="preserve"> </w:t>
      </w:r>
      <w:r>
        <w:rPr>
          <w:sz w:val="21"/>
        </w:rPr>
        <w:t>and understanding</w:t>
      </w:r>
      <w:r>
        <w:rPr>
          <w:position w:val="7"/>
          <w:sz w:val="14"/>
        </w:rPr>
        <w:t>130</w:t>
      </w:r>
      <w:r>
        <w:rPr>
          <w:sz w:val="21"/>
        </w:rPr>
        <w:t>;</w:t>
      </w:r>
    </w:p>
    <w:p w14:paraId="2A205327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8" w:line="259" w:lineRule="auto"/>
        <w:ind w:right="529"/>
        <w:rPr>
          <w:sz w:val="21"/>
        </w:rPr>
      </w:pPr>
      <w:r>
        <w:rPr>
          <w:sz w:val="21"/>
        </w:rPr>
        <w:t>in classroom settings, to cu</w:t>
      </w:r>
      <w:r>
        <w:rPr>
          <w:sz w:val="21"/>
        </w:rPr>
        <w:t>ltivate Māori role models and mentors</w:t>
      </w:r>
      <w:r>
        <w:rPr>
          <w:position w:val="7"/>
          <w:sz w:val="14"/>
        </w:rPr>
        <w:t>114</w:t>
      </w:r>
      <w:r>
        <w:rPr>
          <w:sz w:val="21"/>
        </w:rPr>
        <w:t>; in the context of maternal</w:t>
      </w:r>
      <w:r>
        <w:rPr>
          <w:spacing w:val="1"/>
          <w:sz w:val="21"/>
        </w:rPr>
        <w:t xml:space="preserve"> </w:t>
      </w:r>
      <w:r>
        <w:rPr>
          <w:sz w:val="21"/>
        </w:rPr>
        <w:t>healthcare system, to facilitate supportive whānau environment to improve birthing experiences of</w:t>
      </w:r>
      <w:r>
        <w:rPr>
          <w:spacing w:val="-50"/>
          <w:sz w:val="21"/>
        </w:rPr>
        <w:t xml:space="preserve"> </w:t>
      </w:r>
      <w:r>
        <w:rPr>
          <w:sz w:val="21"/>
        </w:rPr>
        <w:t>young</w:t>
      </w:r>
      <w:r>
        <w:rPr>
          <w:spacing w:val="-1"/>
          <w:sz w:val="21"/>
        </w:rPr>
        <w:t xml:space="preserve"> </w:t>
      </w:r>
      <w:r>
        <w:rPr>
          <w:sz w:val="21"/>
        </w:rPr>
        <w:t>Māori</w:t>
      </w:r>
      <w:r>
        <w:rPr>
          <w:spacing w:val="-1"/>
          <w:sz w:val="21"/>
        </w:rPr>
        <w:t xml:space="preserve"> </w:t>
      </w:r>
      <w:r>
        <w:rPr>
          <w:sz w:val="21"/>
        </w:rPr>
        <w:t>women</w:t>
      </w:r>
      <w:r>
        <w:rPr>
          <w:sz w:val="21"/>
          <w:vertAlign w:val="superscript"/>
        </w:rPr>
        <w:t>140</w:t>
      </w:r>
      <w:r>
        <w:rPr>
          <w:sz w:val="21"/>
        </w:rPr>
        <w:t>;</w:t>
      </w:r>
    </w:p>
    <w:p w14:paraId="3522C288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line="255" w:lineRule="exact"/>
        <w:ind w:hanging="361"/>
        <w:rPr>
          <w:sz w:val="21"/>
        </w:rPr>
      </w:pPr>
      <w:r>
        <w:rPr>
          <w:sz w:val="21"/>
        </w:rPr>
        <w:t>in</w:t>
      </w:r>
      <w:r>
        <w:rPr>
          <w:spacing w:val="-1"/>
          <w:sz w:val="21"/>
        </w:rPr>
        <w:t xml:space="preserve"> </w:t>
      </w:r>
      <w:r>
        <w:rPr>
          <w:sz w:val="21"/>
        </w:rPr>
        <w:t>health</w:t>
      </w:r>
      <w:r>
        <w:rPr>
          <w:spacing w:val="-1"/>
          <w:sz w:val="21"/>
        </w:rPr>
        <w:t xml:space="preserve"> </w:t>
      </w:r>
      <w:r>
        <w:rPr>
          <w:sz w:val="21"/>
        </w:rPr>
        <w:t>policy,</w:t>
      </w:r>
      <w:r>
        <w:rPr>
          <w:spacing w:val="-1"/>
          <w:sz w:val="21"/>
        </w:rPr>
        <w:t xml:space="preserve"> </w:t>
      </w: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increase</w:t>
      </w:r>
      <w:r>
        <w:rPr>
          <w:spacing w:val="1"/>
          <w:sz w:val="21"/>
        </w:rPr>
        <w:t xml:space="preserve"> </w:t>
      </w:r>
      <w:r>
        <w:rPr>
          <w:sz w:val="21"/>
        </w:rPr>
        <w:t>Māori</w:t>
      </w:r>
      <w:r>
        <w:rPr>
          <w:spacing w:val="-2"/>
          <w:sz w:val="21"/>
        </w:rPr>
        <w:t xml:space="preserve"> </w:t>
      </w:r>
      <w:r>
        <w:rPr>
          <w:sz w:val="21"/>
        </w:rPr>
        <w:t>voices</w:t>
      </w:r>
      <w:r>
        <w:rPr>
          <w:spacing w:val="-2"/>
          <w:sz w:val="21"/>
        </w:rPr>
        <w:t xml:space="preserve"> </w:t>
      </w:r>
      <w:r>
        <w:rPr>
          <w:sz w:val="21"/>
        </w:rPr>
        <w:t>by</w:t>
      </w:r>
      <w:r>
        <w:rPr>
          <w:spacing w:val="-5"/>
          <w:sz w:val="21"/>
        </w:rPr>
        <w:t xml:space="preserve"> </w:t>
      </w:r>
      <w:r>
        <w:rPr>
          <w:sz w:val="21"/>
        </w:rPr>
        <w:t>giving</w:t>
      </w:r>
      <w:r>
        <w:rPr>
          <w:spacing w:val="-1"/>
          <w:sz w:val="21"/>
        </w:rPr>
        <w:t xml:space="preserve"> </w:t>
      </w:r>
      <w:r>
        <w:rPr>
          <w:sz w:val="21"/>
        </w:rPr>
        <w:t>voices</w:t>
      </w:r>
      <w:r>
        <w:rPr>
          <w:spacing w:val="-2"/>
          <w:sz w:val="21"/>
        </w:rPr>
        <w:t xml:space="preserve"> </w:t>
      </w: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ethnic</w:t>
      </w:r>
      <w:r>
        <w:rPr>
          <w:spacing w:val="-1"/>
          <w:sz w:val="21"/>
        </w:rPr>
        <w:t xml:space="preserve"> </w:t>
      </w:r>
      <w:r>
        <w:rPr>
          <w:sz w:val="21"/>
        </w:rPr>
        <w:t>specific</w:t>
      </w:r>
      <w:r>
        <w:rPr>
          <w:spacing w:val="-1"/>
          <w:sz w:val="21"/>
        </w:rPr>
        <w:t xml:space="preserve"> </w:t>
      </w:r>
      <w:r>
        <w:rPr>
          <w:sz w:val="21"/>
        </w:rPr>
        <w:t>advisory</w:t>
      </w:r>
      <w:r>
        <w:rPr>
          <w:spacing w:val="-4"/>
          <w:sz w:val="21"/>
        </w:rPr>
        <w:t xml:space="preserve"> </w:t>
      </w:r>
      <w:r>
        <w:rPr>
          <w:sz w:val="21"/>
        </w:rPr>
        <w:t>groups</w:t>
      </w:r>
      <w:r>
        <w:rPr>
          <w:position w:val="7"/>
          <w:sz w:val="14"/>
        </w:rPr>
        <w:t>141</w:t>
      </w:r>
      <w:r>
        <w:rPr>
          <w:sz w:val="21"/>
        </w:rPr>
        <w:t>;</w:t>
      </w:r>
    </w:p>
    <w:p w14:paraId="118D9A33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19" w:line="254" w:lineRule="auto"/>
        <w:ind w:right="1233"/>
        <w:rPr>
          <w:sz w:val="21"/>
        </w:rPr>
      </w:pPr>
      <w:r>
        <w:rPr>
          <w:sz w:val="21"/>
        </w:rPr>
        <w:t>in the context of domestic violence, to see mundane collective tasks and everyday cultural</w:t>
      </w:r>
      <w:r>
        <w:rPr>
          <w:spacing w:val="-50"/>
          <w:sz w:val="21"/>
        </w:rPr>
        <w:t xml:space="preserve"> </w:t>
      </w:r>
      <w:r>
        <w:rPr>
          <w:sz w:val="21"/>
        </w:rPr>
        <w:t>practices</w:t>
      </w:r>
      <w:r>
        <w:rPr>
          <w:spacing w:val="-2"/>
          <w:sz w:val="21"/>
        </w:rPr>
        <w:t xml:space="preserve"> </w:t>
      </w:r>
      <w:r>
        <w:rPr>
          <w:sz w:val="21"/>
        </w:rPr>
        <w:t>as</w:t>
      </w:r>
      <w:r>
        <w:rPr>
          <w:spacing w:val="-1"/>
          <w:sz w:val="21"/>
        </w:rPr>
        <w:t xml:space="preserve"> </w:t>
      </w:r>
      <w:r>
        <w:rPr>
          <w:sz w:val="21"/>
        </w:rPr>
        <w:t>a valuable site for</w:t>
      </w:r>
      <w:r>
        <w:rPr>
          <w:spacing w:val="-1"/>
          <w:sz w:val="21"/>
        </w:rPr>
        <w:t xml:space="preserve"> </w:t>
      </w:r>
      <w:r>
        <w:rPr>
          <w:sz w:val="21"/>
        </w:rPr>
        <w:t>Māori</w:t>
      </w:r>
      <w:r>
        <w:rPr>
          <w:spacing w:val="-1"/>
          <w:sz w:val="21"/>
        </w:rPr>
        <w:t xml:space="preserve"> </w:t>
      </w:r>
      <w:r>
        <w:rPr>
          <w:sz w:val="21"/>
        </w:rPr>
        <w:t>people</w:t>
      </w:r>
      <w:r>
        <w:rPr>
          <w:position w:val="7"/>
          <w:sz w:val="14"/>
        </w:rPr>
        <w:t>129</w:t>
      </w:r>
      <w:r>
        <w:rPr>
          <w:sz w:val="21"/>
        </w:rPr>
        <w:t>;</w:t>
      </w:r>
    </w:p>
    <w:p w14:paraId="00615240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2" w:line="254" w:lineRule="auto"/>
        <w:ind w:right="1120"/>
        <w:rPr>
          <w:sz w:val="21"/>
        </w:rPr>
      </w:pPr>
      <w:r>
        <w:rPr>
          <w:sz w:val="21"/>
        </w:rPr>
        <w:t xml:space="preserve">to implement peer-education approach for Māori kaumātua transitioning in older </w:t>
      </w:r>
      <w:r>
        <w:rPr>
          <w:sz w:val="21"/>
        </w:rPr>
        <w:t>life which</w:t>
      </w:r>
      <w:r>
        <w:rPr>
          <w:spacing w:val="-50"/>
          <w:sz w:val="21"/>
        </w:rPr>
        <w:t xml:space="preserve"> </w:t>
      </w:r>
      <w:r>
        <w:rPr>
          <w:sz w:val="21"/>
        </w:rPr>
        <w:t>stimulates</w:t>
      </w:r>
      <w:r>
        <w:rPr>
          <w:spacing w:val="-2"/>
          <w:sz w:val="21"/>
        </w:rPr>
        <w:t xml:space="preserve"> </w:t>
      </w:r>
      <w:r>
        <w:rPr>
          <w:sz w:val="21"/>
        </w:rPr>
        <w:t>social</w:t>
      </w:r>
      <w:r>
        <w:rPr>
          <w:spacing w:val="-1"/>
          <w:sz w:val="21"/>
        </w:rPr>
        <w:t xml:space="preserve"> </w:t>
      </w:r>
      <w:r>
        <w:rPr>
          <w:sz w:val="21"/>
        </w:rPr>
        <w:t>integration</w:t>
      </w:r>
      <w:r>
        <w:rPr>
          <w:spacing w:val="2"/>
          <w:sz w:val="21"/>
        </w:rPr>
        <w:t xml:space="preserve"> </w:t>
      </w:r>
      <w:r>
        <w:rPr>
          <w:sz w:val="21"/>
        </w:rPr>
        <w:t>and engagement</w:t>
      </w:r>
      <w:r>
        <w:rPr>
          <w:position w:val="7"/>
          <w:sz w:val="14"/>
        </w:rPr>
        <w:t>134</w:t>
      </w:r>
      <w:r>
        <w:rPr>
          <w:sz w:val="21"/>
        </w:rPr>
        <w:t>;</w:t>
      </w:r>
    </w:p>
    <w:p w14:paraId="309D0BCF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4" w:line="254" w:lineRule="auto"/>
        <w:ind w:right="1252"/>
        <w:rPr>
          <w:sz w:val="21"/>
        </w:rPr>
      </w:pPr>
      <w:r>
        <w:rPr>
          <w:sz w:val="21"/>
        </w:rPr>
        <w:t>in relation to suicide, to implement a whānau-centred approach that enables individuals to</w:t>
      </w:r>
      <w:r>
        <w:rPr>
          <w:spacing w:val="-50"/>
          <w:sz w:val="21"/>
        </w:rPr>
        <w:t xml:space="preserve"> </w:t>
      </w:r>
      <w:r>
        <w:rPr>
          <w:sz w:val="21"/>
        </w:rPr>
        <w:t>transcend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focus</w:t>
      </w:r>
      <w:r>
        <w:rPr>
          <w:spacing w:val="-2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empower</w:t>
      </w:r>
      <w:r>
        <w:rPr>
          <w:spacing w:val="-2"/>
          <w:sz w:val="21"/>
        </w:rPr>
        <w:t xml:space="preserve"> </w:t>
      </w:r>
      <w:r>
        <w:rPr>
          <w:sz w:val="21"/>
        </w:rPr>
        <w:t>whānau</w:t>
      </w:r>
      <w:r>
        <w:rPr>
          <w:spacing w:val="-1"/>
          <w:sz w:val="21"/>
        </w:rPr>
        <w:t xml:space="preserve"> </w:t>
      </w: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challenge</w:t>
      </w:r>
      <w:r>
        <w:rPr>
          <w:spacing w:val="-1"/>
          <w:sz w:val="21"/>
        </w:rPr>
        <w:t xml:space="preserve"> </w:t>
      </w:r>
      <w:r>
        <w:rPr>
          <w:sz w:val="21"/>
        </w:rPr>
        <w:t>tikanga</w:t>
      </w:r>
      <w:r>
        <w:rPr>
          <w:spacing w:val="-1"/>
          <w:sz w:val="21"/>
        </w:rPr>
        <w:t xml:space="preserve"> </w:t>
      </w:r>
      <w:r>
        <w:rPr>
          <w:sz w:val="21"/>
        </w:rPr>
        <w:t>in</w:t>
      </w:r>
      <w:r>
        <w:rPr>
          <w:spacing w:val="-1"/>
          <w:sz w:val="21"/>
        </w:rPr>
        <w:t xml:space="preserve"> </w:t>
      </w:r>
      <w:r>
        <w:rPr>
          <w:sz w:val="21"/>
        </w:rPr>
        <w:t>relation</w:t>
      </w:r>
      <w:r>
        <w:rPr>
          <w:spacing w:val="-1"/>
          <w:sz w:val="21"/>
        </w:rPr>
        <w:t xml:space="preserve"> </w:t>
      </w: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suicide</w:t>
      </w:r>
      <w:r>
        <w:rPr>
          <w:position w:val="7"/>
          <w:sz w:val="14"/>
        </w:rPr>
        <w:t>142</w:t>
      </w:r>
      <w:r>
        <w:rPr>
          <w:sz w:val="21"/>
        </w:rPr>
        <w:t>;</w:t>
      </w:r>
    </w:p>
    <w:p w14:paraId="13DAE4A3" w14:textId="77777777" w:rsidR="002A14F8" w:rsidRDefault="002A14F8">
      <w:pPr>
        <w:spacing w:line="254" w:lineRule="auto"/>
        <w:rPr>
          <w:sz w:val="21"/>
        </w:r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4F81FA4F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before="77" w:line="256" w:lineRule="auto"/>
        <w:ind w:right="773"/>
        <w:rPr>
          <w:sz w:val="21"/>
        </w:rPr>
      </w:pPr>
      <w:r>
        <w:rPr>
          <w:sz w:val="21"/>
        </w:rPr>
        <w:lastRenderedPageBreak/>
        <w:t>in the context of raising children, to allow Māori to reclaim the power, agency, will, and</w:t>
      </w:r>
      <w:r>
        <w:rPr>
          <w:spacing w:val="1"/>
          <w:sz w:val="21"/>
        </w:rPr>
        <w:t xml:space="preserve"> </w:t>
      </w:r>
      <w:r>
        <w:rPr>
          <w:sz w:val="21"/>
        </w:rPr>
        <w:t>determination to guide aspirations, claim tino rangatiratanga, and control their own destinies</w:t>
      </w:r>
      <w:r>
        <w:rPr>
          <w:position w:val="7"/>
          <w:sz w:val="14"/>
        </w:rPr>
        <w:t>127</w:t>
      </w:r>
      <w:r>
        <w:rPr>
          <w:sz w:val="21"/>
        </w:rPr>
        <w:t>;</w:t>
      </w:r>
      <w:r>
        <w:rPr>
          <w:spacing w:val="-50"/>
          <w:sz w:val="21"/>
        </w:rPr>
        <w:t xml:space="preserve"> </w:t>
      </w:r>
      <w:r>
        <w:rPr>
          <w:sz w:val="21"/>
        </w:rPr>
        <w:t>and</w:t>
      </w:r>
    </w:p>
    <w:p w14:paraId="486C9246" w14:textId="77777777" w:rsidR="002A14F8" w:rsidRDefault="003458B8">
      <w:pPr>
        <w:pStyle w:val="ListParagraph"/>
        <w:numPr>
          <w:ilvl w:val="0"/>
          <w:numId w:val="2"/>
        </w:numPr>
        <w:tabs>
          <w:tab w:val="left" w:pos="1260"/>
          <w:tab w:val="left" w:pos="1261"/>
        </w:tabs>
        <w:spacing w:line="254" w:lineRule="auto"/>
        <w:ind w:right="889"/>
        <w:rPr>
          <w:sz w:val="21"/>
        </w:rPr>
      </w:pPr>
      <w:r>
        <w:rPr>
          <w:sz w:val="21"/>
        </w:rPr>
        <w:t>in the context of language, to encourage non-Māori speakers in accepting that Māori language</w:t>
      </w:r>
      <w:r>
        <w:rPr>
          <w:spacing w:val="-50"/>
          <w:sz w:val="21"/>
        </w:rPr>
        <w:t xml:space="preserve"> </w:t>
      </w:r>
      <w:r>
        <w:rPr>
          <w:sz w:val="21"/>
        </w:rPr>
        <w:t>speaking domains need to be protected in order for the goal of language revitalisation to be</w:t>
      </w:r>
      <w:r>
        <w:rPr>
          <w:spacing w:val="1"/>
          <w:sz w:val="21"/>
        </w:rPr>
        <w:t xml:space="preserve"> </w:t>
      </w:r>
      <w:r>
        <w:rPr>
          <w:sz w:val="21"/>
        </w:rPr>
        <w:t>achieved</w:t>
      </w:r>
      <w:r>
        <w:rPr>
          <w:position w:val="7"/>
          <w:sz w:val="14"/>
        </w:rPr>
        <w:t>110</w:t>
      </w:r>
      <w:r>
        <w:rPr>
          <w:sz w:val="21"/>
        </w:rPr>
        <w:t>.</w:t>
      </w:r>
    </w:p>
    <w:p w14:paraId="08345EA6" w14:textId="77777777" w:rsidR="002A14F8" w:rsidRDefault="003458B8">
      <w:pPr>
        <w:pStyle w:val="BodyText"/>
        <w:spacing w:before="169" w:line="259" w:lineRule="auto"/>
        <w:ind w:left="540" w:right="653"/>
      </w:pPr>
      <w:r>
        <w:t>Unconscious bias, unjust practices, and racism against Mā</w:t>
      </w:r>
      <w:r>
        <w:t>ori were highlighted in criminal justice</w:t>
      </w:r>
      <w:r>
        <w:rPr>
          <w:spacing w:val="1"/>
        </w:rPr>
        <w:t xml:space="preserve"> </w:t>
      </w:r>
      <w:r>
        <w:t>systems</w:t>
      </w:r>
      <w:r>
        <w:rPr>
          <w:vertAlign w:val="superscript"/>
        </w:rPr>
        <w:t>108,131,133</w:t>
      </w:r>
      <w:r>
        <w:t>. Criminal justice use of Māori identity was found to be tokenistic, as merely to meet</w:t>
      </w:r>
      <w:r>
        <w:rPr>
          <w:spacing w:val="-52"/>
        </w:rPr>
        <w:t xml:space="preserve"> </w:t>
      </w:r>
      <w:r>
        <w:t>Treaty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Waitangi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rather</w:t>
      </w:r>
      <w:r>
        <w:rPr>
          <w:spacing w:val="-2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a genuine</w:t>
      </w:r>
      <w:r>
        <w:rPr>
          <w:spacing w:val="-1"/>
        </w:rPr>
        <w:t xml:space="preserve"> </w:t>
      </w:r>
      <w:r>
        <w:t>effort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reduce</w:t>
      </w:r>
      <w:r>
        <w:rPr>
          <w:spacing w:val="-2"/>
        </w:rPr>
        <w:t xml:space="preserve"> </w:t>
      </w:r>
      <w:r>
        <w:t>Māori</w:t>
      </w:r>
      <w:r>
        <w:rPr>
          <w:spacing w:val="-3"/>
        </w:rPr>
        <w:t xml:space="preserve"> </w:t>
      </w:r>
      <w:r>
        <w:t>offending</w:t>
      </w:r>
      <w:r>
        <w:rPr>
          <w:spacing w:val="-3"/>
        </w:rPr>
        <w:t xml:space="preserve"> </w:t>
      </w:r>
      <w:r>
        <w:t>rates</w:t>
      </w:r>
      <w:r>
        <w:rPr>
          <w:vertAlign w:val="superscript"/>
        </w:rPr>
        <w:t>133</w:t>
      </w:r>
      <w:r>
        <w:t>.</w:t>
      </w:r>
    </w:p>
    <w:p w14:paraId="5C1FCA43" w14:textId="77777777" w:rsidR="002A14F8" w:rsidRDefault="003458B8">
      <w:pPr>
        <w:pStyle w:val="BodyText"/>
        <w:spacing w:line="259" w:lineRule="auto"/>
        <w:ind w:left="540" w:right="602"/>
      </w:pPr>
      <w:r>
        <w:t>Criminal justi</w:t>
      </w:r>
      <w:r>
        <w:t>ce systems ought to practise the concept of whakahoki mauri (to restore peace and</w:t>
      </w:r>
      <w:r>
        <w:rPr>
          <w:spacing w:val="1"/>
        </w:rPr>
        <w:t xml:space="preserve"> </w:t>
      </w:r>
      <w:r>
        <w:t>balance within the whānau and wider community) to improve social integration for Māori who have</w:t>
      </w:r>
      <w:r>
        <w:rPr>
          <w:spacing w:val="1"/>
        </w:rPr>
        <w:t xml:space="preserve"> </w:t>
      </w:r>
      <w:r>
        <w:t>offended. Whakahoki mauri embodied in this way would reinstate the traditional</w:t>
      </w:r>
      <w:r>
        <w:t xml:space="preserve"> meaning of</w:t>
      </w:r>
      <w:r>
        <w:rPr>
          <w:spacing w:val="1"/>
        </w:rPr>
        <w:t xml:space="preserve"> </w:t>
      </w:r>
      <w:r>
        <w:t>rehabilitation, to help to reform an individual’s ability and capacity to participate fully in society</w:t>
      </w:r>
      <w:r>
        <w:rPr>
          <w:vertAlign w:val="superscript"/>
        </w:rPr>
        <w:t>108</w:t>
      </w:r>
      <w:r>
        <w:t>.</w:t>
      </w:r>
      <w:r>
        <w:rPr>
          <w:spacing w:val="1"/>
        </w:rPr>
        <w:t xml:space="preserve"> </w:t>
      </w:r>
      <w:r>
        <w:t>For Māori within the criminal justice system, connection to Māori culture and identity was viewed as</w:t>
      </w:r>
      <w:r>
        <w:rPr>
          <w:spacing w:val="-52"/>
        </w:rPr>
        <w:t xml:space="preserve"> </w:t>
      </w:r>
      <w:r>
        <w:t>preventive</w:t>
      </w:r>
      <w:r>
        <w:rPr>
          <w:spacing w:val="-1"/>
        </w:rPr>
        <w:t xml:space="preserve"> </w:t>
      </w:r>
      <w:r>
        <w:t>to further criminality</w:t>
      </w:r>
      <w:r>
        <w:rPr>
          <w:vertAlign w:val="superscript"/>
        </w:rPr>
        <w:t>108</w:t>
      </w:r>
      <w:r>
        <w:t>.</w:t>
      </w:r>
    </w:p>
    <w:p w14:paraId="4A9F62E0" w14:textId="77777777" w:rsidR="002A14F8" w:rsidRDefault="003458B8">
      <w:pPr>
        <w:pStyle w:val="BodyText"/>
        <w:spacing w:before="158" w:line="259" w:lineRule="auto"/>
        <w:ind w:left="540" w:right="561"/>
      </w:pPr>
      <w:r>
        <w:t>There is a need to address the practicality of a ‘culture as cure’ perspective within the context of</w:t>
      </w:r>
      <w:r>
        <w:rPr>
          <w:spacing w:val="1"/>
        </w:rPr>
        <w:t xml:space="preserve"> </w:t>
      </w:r>
      <w:r>
        <w:t>colonisation and the various needs of diverse rangatahi Māori today. Rather than seeing Māori as a</w:t>
      </w:r>
      <w:r>
        <w:rPr>
          <w:spacing w:val="1"/>
        </w:rPr>
        <w:t xml:space="preserve"> </w:t>
      </w:r>
      <w:r>
        <w:t>crude indicator of ethnic identity, there is a need to</w:t>
      </w:r>
      <w:r>
        <w:t xml:space="preserve"> recognise rangatahi Māori wellbeing as complex</w:t>
      </w:r>
      <w:r>
        <w:rPr>
          <w:spacing w:val="1"/>
        </w:rPr>
        <w:t xml:space="preserve"> </w:t>
      </w:r>
      <w:r>
        <w:t>and multi-dimensional with multiple contributing factors embedded in cultural, historical, spiritual,</w:t>
      </w:r>
      <w:r>
        <w:rPr>
          <w:spacing w:val="1"/>
        </w:rPr>
        <w:t xml:space="preserve"> </w:t>
      </w:r>
      <w:r>
        <w:t>physiological, psychological, structural and social domains</w:t>
      </w:r>
      <w:r>
        <w:rPr>
          <w:vertAlign w:val="superscript"/>
        </w:rPr>
        <w:t>107,118,143,144</w:t>
      </w:r>
      <w:r>
        <w:t>. It is important to recognise t</w:t>
      </w:r>
      <w:r>
        <w:t>he</w:t>
      </w:r>
      <w:r>
        <w:rPr>
          <w:spacing w:val="-52"/>
        </w:rPr>
        <w:t xml:space="preserve"> </w:t>
      </w:r>
      <w:r>
        <w:t>new representations of Māori urban youth identities that do not conform to Māori- mainstream</w:t>
      </w:r>
      <w:r>
        <w:rPr>
          <w:spacing w:val="1"/>
        </w:rPr>
        <w:t xml:space="preserve"> </w:t>
      </w:r>
      <w:r>
        <w:t>dichotomies and implement initiatives designed to minimise identity threats so that rangatahi Māori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feel</w:t>
      </w:r>
      <w:r>
        <w:rPr>
          <w:spacing w:val="1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>forced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coerced</w:t>
      </w:r>
      <w:r>
        <w:rPr>
          <w:spacing w:val="-3"/>
        </w:rPr>
        <w:t xml:space="preserve"> </w:t>
      </w:r>
      <w:r>
        <w:t>to occupy</w:t>
      </w:r>
      <w:r>
        <w:rPr>
          <w:spacing w:val="-2"/>
        </w:rPr>
        <w:t xml:space="preserve"> </w:t>
      </w:r>
      <w:r>
        <w:t>identity</w:t>
      </w:r>
      <w:r>
        <w:rPr>
          <w:spacing w:val="-3"/>
        </w:rPr>
        <w:t xml:space="preserve"> </w:t>
      </w:r>
      <w:r>
        <w:t>spaces they</w:t>
      </w:r>
      <w:r>
        <w:rPr>
          <w:spacing w:val="-2"/>
        </w:rPr>
        <w:t xml:space="preserve"> </w:t>
      </w:r>
      <w:r>
        <w:t>are uncomfortable with</w:t>
      </w:r>
      <w:r>
        <w:rPr>
          <w:vertAlign w:val="superscript"/>
        </w:rPr>
        <w:t>144</w:t>
      </w:r>
      <w:r>
        <w:t>.</w:t>
      </w:r>
    </w:p>
    <w:p w14:paraId="5FA112D9" w14:textId="77777777" w:rsidR="002A14F8" w:rsidRDefault="002A14F8">
      <w:pPr>
        <w:spacing w:line="259" w:lineRule="auto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415D091E" w14:textId="77777777" w:rsidR="002A14F8" w:rsidRDefault="003458B8">
      <w:pPr>
        <w:pStyle w:val="Heading1"/>
      </w:pPr>
      <w:bookmarkStart w:id="6" w:name="_bookmark6"/>
      <w:bookmarkEnd w:id="6"/>
      <w:r>
        <w:lastRenderedPageBreak/>
        <w:t>Ethnic</w:t>
      </w:r>
      <w:r>
        <w:rPr>
          <w:spacing w:val="-2"/>
        </w:rPr>
        <w:t xml:space="preserve"> </w:t>
      </w:r>
      <w:r>
        <w:t>Communities</w:t>
      </w:r>
    </w:p>
    <w:p w14:paraId="29338829" w14:textId="77777777" w:rsidR="002A14F8" w:rsidRDefault="003458B8">
      <w:pPr>
        <w:pStyle w:val="BodyText"/>
        <w:spacing w:before="31" w:line="259" w:lineRule="auto"/>
        <w:ind w:left="540" w:right="548"/>
      </w:pPr>
      <w:r>
        <w:t>Ethnic community identities are fluid, diverse, multi-dimensional, and need to be understood in</w:t>
      </w:r>
      <w:r>
        <w:rPr>
          <w:spacing w:val="1"/>
        </w:rPr>
        <w:t xml:space="preserve"> </w:t>
      </w:r>
      <w:r>
        <w:t>relation to social class, ethnicity, culture and gender. Often, they become</w:t>
      </w:r>
      <w:r>
        <w:t xml:space="preserve"> amalgamated into ‘regional’</w:t>
      </w:r>
      <w:r>
        <w:rPr>
          <w:spacing w:val="-52"/>
        </w:rPr>
        <w:t xml:space="preserve"> </w:t>
      </w:r>
      <w:r>
        <w:t>groupings such as Pacific Peoples which obscures the complexity within these ethnic groupings. For</w:t>
      </w:r>
      <w:r>
        <w:rPr>
          <w:spacing w:val="1"/>
        </w:rPr>
        <w:t xml:space="preserve"> </w:t>
      </w:r>
      <w:r>
        <w:t>example, they may “align themselves variously, and at different times along ethnic, geographic,</w:t>
      </w:r>
      <w:r>
        <w:rPr>
          <w:spacing w:val="1"/>
        </w:rPr>
        <w:t xml:space="preserve"> </w:t>
      </w:r>
      <w:r>
        <w:t>church, family, school, age/gend</w:t>
      </w:r>
      <w:r>
        <w:t>er, Island born, New Zealand born, occupational lines or a mix of</w:t>
      </w:r>
      <w:r>
        <w:rPr>
          <w:spacing w:val="1"/>
        </w:rPr>
        <w:t xml:space="preserve"> </w:t>
      </w:r>
      <w:r>
        <w:t>these”</w:t>
      </w:r>
      <w:r>
        <w:rPr>
          <w:vertAlign w:val="superscript"/>
        </w:rPr>
        <w:t>6</w:t>
      </w:r>
      <w:r>
        <w:t>. Yet, at the same time, these regional groupings also share many commonalities that may not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 other</w:t>
      </w:r>
      <w:r>
        <w:rPr>
          <w:spacing w:val="-2"/>
        </w:rPr>
        <w:t xml:space="preserve"> </w:t>
      </w:r>
      <w:r>
        <w:t>regional</w:t>
      </w:r>
      <w:r>
        <w:rPr>
          <w:spacing w:val="1"/>
        </w:rPr>
        <w:t xml:space="preserve"> </w:t>
      </w:r>
      <w:r>
        <w:t>groups</w:t>
      </w:r>
      <w:r>
        <w:rPr>
          <w:vertAlign w:val="superscript"/>
        </w:rPr>
        <w:t>6</w:t>
      </w:r>
      <w:r>
        <w:t>.</w:t>
      </w:r>
    </w:p>
    <w:p w14:paraId="38FB5294" w14:textId="77777777" w:rsidR="002A14F8" w:rsidRDefault="003458B8">
      <w:pPr>
        <w:pStyle w:val="BodyText"/>
        <w:spacing w:before="159" w:line="259" w:lineRule="auto"/>
        <w:ind w:left="540" w:right="565"/>
      </w:pPr>
      <w:r>
        <w:t>Though Aotearoa New Zealand prides itself on being a multicu</w:t>
      </w:r>
      <w:r>
        <w:t>ltural country, the reality is often quite</w:t>
      </w:r>
      <w:r>
        <w:rPr>
          <w:spacing w:val="-52"/>
        </w:rPr>
        <w:t xml:space="preserve"> </w:t>
      </w:r>
      <w:r>
        <w:t>different. Monoculturalism does not promote social cohesion, but a nation built on a bicultural past</w:t>
      </w:r>
      <w:r>
        <w:rPr>
          <w:spacing w:val="1"/>
        </w:rPr>
        <w:t xml:space="preserve"> </w:t>
      </w:r>
      <w:r>
        <w:t>can benefit from incorporating both worldviews and improve social cohesion</w:t>
      </w:r>
      <w:r>
        <w:rPr>
          <w:vertAlign w:val="superscript"/>
        </w:rPr>
        <w:t>5</w:t>
      </w:r>
      <w:r>
        <w:t>. There has been some</w:t>
      </w:r>
      <w:r>
        <w:rPr>
          <w:spacing w:val="1"/>
        </w:rPr>
        <w:t xml:space="preserve"> </w:t>
      </w:r>
      <w:r>
        <w:t>progress made i</w:t>
      </w:r>
      <w:r>
        <w:t>n regards to multiculturalism, such as in level of design, primarily by maximising the</w:t>
      </w:r>
      <w:r>
        <w:rPr>
          <w:spacing w:val="1"/>
        </w:rPr>
        <w:t xml:space="preserve"> </w:t>
      </w:r>
      <w:r>
        <w:t>presence of members and promoting visibility for communities of difference</w:t>
      </w:r>
      <w:r>
        <w:rPr>
          <w:vertAlign w:val="superscript"/>
        </w:rPr>
        <w:t>3</w:t>
      </w:r>
      <w:r>
        <w:t>. In reality, changes to</w:t>
      </w:r>
      <w:r>
        <w:rPr>
          <w:spacing w:val="1"/>
        </w:rPr>
        <w:t xml:space="preserve"> </w:t>
      </w:r>
      <w:r>
        <w:t>incorporating multiculturalism has had much less impact in the abilit</w:t>
      </w:r>
      <w:r>
        <w:t>y to sustain deep political</w:t>
      </w:r>
      <w:r>
        <w:rPr>
          <w:spacing w:val="1"/>
        </w:rPr>
        <w:t xml:space="preserve"> </w:t>
      </w:r>
      <w:r>
        <w:t>transformations or opportunities for advancing diversity, in particular with the backdrop of recent</w:t>
      </w:r>
      <w:r>
        <w:rPr>
          <w:spacing w:val="1"/>
        </w:rPr>
        <w:t xml:space="preserve"> </w:t>
      </w:r>
      <w:r>
        <w:t>neo-conservatism</w:t>
      </w:r>
      <w:r>
        <w:rPr>
          <w:vertAlign w:val="superscript"/>
        </w:rPr>
        <w:t>3</w:t>
      </w:r>
      <w:r>
        <w:t>. Multiculturalism is also strained between the instrumentalisation of migration as</w:t>
      </w:r>
      <w:r>
        <w:rPr>
          <w:spacing w:val="1"/>
        </w:rPr>
        <w:t xml:space="preserve"> </w:t>
      </w:r>
      <w:r>
        <w:t>an end to an economic goal,</w:t>
      </w:r>
      <w:r>
        <w:t xml:space="preserve"> and a vision of a fair, equitable, and diverse society as its own ideal with</w:t>
      </w:r>
      <w:r>
        <w:rPr>
          <w:spacing w:val="-5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former</w:t>
      </w:r>
      <w:r>
        <w:rPr>
          <w:spacing w:val="1"/>
        </w:rPr>
        <w:t xml:space="preserve"> </w:t>
      </w:r>
      <w:r>
        <w:t>often</w:t>
      </w:r>
      <w:r>
        <w:rPr>
          <w:spacing w:val="-2"/>
        </w:rPr>
        <w:t xml:space="preserve"> </w:t>
      </w:r>
      <w:r>
        <w:t>having</w:t>
      </w:r>
      <w:r>
        <w:rPr>
          <w:spacing w:val="-3"/>
        </w:rPr>
        <w:t xml:space="preserve"> </w:t>
      </w:r>
      <w:r>
        <w:t>priority</w:t>
      </w:r>
      <w:r>
        <w:rPr>
          <w:vertAlign w:val="superscript"/>
        </w:rPr>
        <w:t>3</w:t>
      </w:r>
      <w:r>
        <w:t>.</w:t>
      </w:r>
    </w:p>
    <w:p w14:paraId="1C9BCEC3" w14:textId="77777777" w:rsidR="002A14F8" w:rsidRDefault="003458B8">
      <w:pPr>
        <w:pStyle w:val="BodyText"/>
        <w:spacing w:before="158" w:line="259" w:lineRule="auto"/>
        <w:ind w:left="540" w:right="881"/>
      </w:pPr>
      <w:r>
        <w:t>Transitioning into Aotearoa New Zealand culture can be overwhelming for migrants</w:t>
      </w:r>
      <w:r>
        <w:rPr>
          <w:vertAlign w:val="superscript"/>
        </w:rPr>
        <w:t>145</w:t>
      </w:r>
      <w:r>
        <w:t>, especially</w:t>
      </w:r>
      <w:r>
        <w:rPr>
          <w:spacing w:val="-52"/>
        </w:rPr>
        <w:t xml:space="preserve"> </w:t>
      </w:r>
      <w:r>
        <w:t>those</w:t>
      </w:r>
      <w:r>
        <w:rPr>
          <w:spacing w:val="-4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come</w:t>
      </w:r>
      <w:r>
        <w:rPr>
          <w:spacing w:val="-1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countries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different political</w:t>
      </w:r>
      <w:r>
        <w:rPr>
          <w:spacing w:val="-3"/>
        </w:rPr>
        <w:t xml:space="preserve"> </w:t>
      </w:r>
      <w:r>
        <w:t>climates</w:t>
      </w:r>
      <w:r>
        <w:rPr>
          <w:vertAlign w:val="superscript"/>
        </w:rPr>
        <w:t>146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religious</w:t>
      </w:r>
      <w:r>
        <w:rPr>
          <w:spacing w:val="-1"/>
        </w:rPr>
        <w:t xml:space="preserve"> </w:t>
      </w:r>
      <w:r>
        <w:t>backgrounds</w:t>
      </w:r>
      <w:r>
        <w:rPr>
          <w:vertAlign w:val="superscript"/>
        </w:rPr>
        <w:t>147</w:t>
      </w:r>
      <w:r>
        <w:t>.</w:t>
      </w:r>
    </w:p>
    <w:p w14:paraId="2057BDE6" w14:textId="77777777" w:rsidR="002A14F8" w:rsidRDefault="003458B8">
      <w:pPr>
        <w:pStyle w:val="BodyText"/>
        <w:spacing w:before="1" w:line="259" w:lineRule="auto"/>
        <w:ind w:left="540" w:right="717"/>
      </w:pPr>
      <w:r>
        <w:t>Viewing migrants as one ‘ethnic’ group not only misses the sub-regional, linguistic, religious</w:t>
      </w:r>
      <w:r>
        <w:rPr>
          <w:spacing w:val="1"/>
        </w:rPr>
        <w:t xml:space="preserve"> </w:t>
      </w:r>
      <w:r>
        <w:t>diversity, and reasons for migration that exist in between, but also ignores differences in capaciti</w:t>
      </w:r>
      <w:r>
        <w:t>es</w:t>
      </w:r>
      <w:r>
        <w:rPr>
          <w:spacing w:val="1"/>
        </w:rPr>
        <w:t xml:space="preserve"> </w:t>
      </w:r>
      <w:r>
        <w:t>that are not shaped by ethnicity or nationality at all</w:t>
      </w:r>
      <w:r>
        <w:rPr>
          <w:vertAlign w:val="superscript"/>
        </w:rPr>
        <w:t>148,149</w:t>
      </w:r>
      <w:r>
        <w:t>. The othering of migrants, such as through</w:t>
      </w:r>
      <w:r>
        <w:rPr>
          <w:spacing w:val="1"/>
        </w:rPr>
        <w:t xml:space="preserve"> </w:t>
      </w:r>
      <w:r>
        <w:t>immigration status, ethnic diversity, and the stigmatisation of ethnic and religious clothing in public</w:t>
      </w:r>
      <w:r>
        <w:rPr>
          <w:spacing w:val="-5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further</w:t>
      </w:r>
      <w:r>
        <w:rPr>
          <w:spacing w:val="-1"/>
        </w:rPr>
        <w:t xml:space="preserve"> </w:t>
      </w:r>
      <w:r>
        <w:t>lead to social</w:t>
      </w:r>
      <w:r>
        <w:rPr>
          <w:spacing w:val="1"/>
        </w:rPr>
        <w:t xml:space="preserve"> </w:t>
      </w:r>
      <w:r>
        <w:t>exclusion</w:t>
      </w:r>
      <w:r>
        <w:rPr>
          <w:vertAlign w:val="superscript"/>
        </w:rPr>
        <w:t>150</w:t>
      </w:r>
      <w:r>
        <w:t>.</w:t>
      </w:r>
    </w:p>
    <w:p w14:paraId="611CD6BA" w14:textId="77777777" w:rsidR="002A14F8" w:rsidRDefault="003458B8">
      <w:pPr>
        <w:pStyle w:val="BodyText"/>
        <w:spacing w:before="158" w:line="259" w:lineRule="auto"/>
        <w:ind w:left="540" w:right="529"/>
      </w:pPr>
      <w:r>
        <w:t>All dimensions of government play a crucial role in supporting ethnic community networking</w:t>
      </w:r>
      <w:r>
        <w:rPr>
          <w:vertAlign w:val="superscript"/>
        </w:rPr>
        <w:t>145</w:t>
      </w:r>
      <w:r>
        <w:t>. A</w:t>
      </w:r>
      <w:r>
        <w:rPr>
          <w:spacing w:val="1"/>
        </w:rPr>
        <w:t xml:space="preserve"> </w:t>
      </w:r>
      <w:r>
        <w:t>tension exists</w:t>
      </w:r>
      <w:r>
        <w:rPr>
          <w:spacing w:val="1"/>
        </w:rPr>
        <w:t xml:space="preserve"> </w:t>
      </w:r>
      <w:r>
        <w:t>between</w:t>
      </w:r>
      <w:r>
        <w:rPr>
          <w:spacing w:val="3"/>
        </w:rPr>
        <w:t xml:space="preserve"> </w:t>
      </w:r>
      <w:r>
        <w:t>Aotearoa</w:t>
      </w:r>
      <w:r>
        <w:rPr>
          <w:spacing w:val="6"/>
        </w:rPr>
        <w:t xml:space="preserve"> </w:t>
      </w:r>
      <w:r>
        <w:t>New</w:t>
      </w:r>
      <w:r>
        <w:rPr>
          <w:spacing w:val="3"/>
        </w:rPr>
        <w:t xml:space="preserve"> </w:t>
      </w:r>
      <w:r>
        <w:t>Zealand’s</w:t>
      </w:r>
      <w:r>
        <w:rPr>
          <w:spacing w:val="3"/>
        </w:rPr>
        <w:t xml:space="preserve"> </w:t>
      </w:r>
      <w:r>
        <w:t>non-discriminatory citizenship</w:t>
      </w:r>
      <w:r>
        <w:rPr>
          <w:spacing w:val="1"/>
        </w:rPr>
        <w:t xml:space="preserve"> </w:t>
      </w:r>
      <w:r>
        <w:t>rights</w:t>
      </w:r>
      <w:r>
        <w:rPr>
          <w:spacing w:val="3"/>
        </w:rPr>
        <w:t xml:space="preserve"> </w:t>
      </w:r>
      <w:r>
        <w:t>and its</w:t>
      </w:r>
      <w:r>
        <w:rPr>
          <w:spacing w:val="1"/>
        </w:rPr>
        <w:t xml:space="preserve"> </w:t>
      </w:r>
      <w:r>
        <w:t>everyday</w:t>
      </w:r>
      <w:r>
        <w:rPr>
          <w:spacing w:val="-4"/>
        </w:rPr>
        <w:t xml:space="preserve"> </w:t>
      </w:r>
      <w:r>
        <w:t>exclusionary</w:t>
      </w:r>
      <w:r>
        <w:rPr>
          <w:spacing w:val="-4"/>
        </w:rPr>
        <w:t xml:space="preserve"> </w:t>
      </w:r>
      <w:r>
        <w:t>citizenship</w:t>
      </w:r>
      <w:r>
        <w:rPr>
          <w:spacing w:val="-1"/>
        </w:rPr>
        <w:t xml:space="preserve"> </w:t>
      </w:r>
      <w:r>
        <w:t>practices</w:t>
      </w:r>
      <w:r>
        <w:rPr>
          <w:spacing w:val="-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hinder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sense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belonging</w:t>
      </w:r>
      <w:r>
        <w:rPr>
          <w:spacing w:val="-4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ethnic</w:t>
      </w:r>
      <w:r>
        <w:rPr>
          <w:spacing w:val="-2"/>
        </w:rPr>
        <w:t xml:space="preserve"> </w:t>
      </w:r>
      <w:r>
        <w:t>communities</w:t>
      </w:r>
    </w:p>
    <w:p w14:paraId="2A6683ED" w14:textId="77777777" w:rsidR="002A14F8" w:rsidRDefault="003458B8">
      <w:pPr>
        <w:pStyle w:val="BodyText"/>
        <w:spacing w:line="259" w:lineRule="auto"/>
        <w:ind w:left="540" w:right="504"/>
      </w:pPr>
      <w:r>
        <w:rPr>
          <w:vertAlign w:val="superscript"/>
        </w:rPr>
        <w:t>151</w:t>
      </w:r>
      <w:r>
        <w:t>. To ensure the success of migrant or refugee settlement and integration, appropriate information</w:t>
      </w:r>
      <w:r>
        <w:rPr>
          <w:spacing w:val="1"/>
        </w:rPr>
        <w:t xml:space="preserve"> </w:t>
      </w:r>
      <w:r>
        <w:t>and resources on employment, education, housing and other social services should be provided to</w:t>
      </w:r>
      <w:r>
        <w:rPr>
          <w:spacing w:val="1"/>
        </w:rPr>
        <w:t xml:space="preserve"> </w:t>
      </w:r>
      <w:r>
        <w:t>them</w:t>
      </w:r>
      <w:r>
        <w:rPr>
          <w:vertAlign w:val="superscript"/>
        </w:rPr>
        <w:t>145</w:t>
      </w:r>
      <w:r>
        <w:t>. Co-ethni</w:t>
      </w:r>
      <w:r>
        <w:t>c networks can have the potential to segregate migrants from others, but they also</w:t>
      </w:r>
      <w:r>
        <w:rPr>
          <w:spacing w:val="1"/>
        </w:rPr>
        <w:t xml:space="preserve"> </w:t>
      </w:r>
      <w:r>
        <w:t>provide a sense of belonging and integration at the community level</w:t>
      </w:r>
      <w:r>
        <w:rPr>
          <w:vertAlign w:val="superscript"/>
        </w:rPr>
        <w:t>148</w:t>
      </w:r>
      <w:r>
        <w:t>. Encouraging cross-cultural</w:t>
      </w:r>
      <w:r>
        <w:rPr>
          <w:spacing w:val="1"/>
        </w:rPr>
        <w:t xml:space="preserve"> </w:t>
      </w:r>
      <w:r>
        <w:t>interaction and education deconstructs negative stereotypes and celebrates</w:t>
      </w:r>
      <w:r>
        <w:t xml:space="preserve"> diversity</w:t>
      </w:r>
      <w:r>
        <w:rPr>
          <w:vertAlign w:val="superscript"/>
        </w:rPr>
        <w:t>152</w:t>
      </w:r>
      <w:r>
        <w:t>. Such</w:t>
      </w:r>
      <w:r>
        <w:rPr>
          <w:spacing w:val="1"/>
        </w:rPr>
        <w:t xml:space="preserve"> </w:t>
      </w:r>
      <w:r>
        <w:t>interactions enable privileged individuals to overcome perceived ethnic and cultural barriers and to</w:t>
      </w:r>
      <w:r>
        <w:rPr>
          <w:spacing w:val="1"/>
        </w:rPr>
        <w:t xml:space="preserve"> </w:t>
      </w:r>
      <w:r>
        <w:t>relate to one another at a more fundamental level as human beings</w:t>
      </w:r>
      <w:r>
        <w:rPr>
          <w:vertAlign w:val="superscript"/>
        </w:rPr>
        <w:t>151</w:t>
      </w:r>
      <w:r>
        <w:t>. Ethnic communities are</w:t>
      </w:r>
      <w:r>
        <w:rPr>
          <w:spacing w:val="1"/>
        </w:rPr>
        <w:t xml:space="preserve"> </w:t>
      </w:r>
      <w:r>
        <w:t>continually negotiating bicultural (or mul</w:t>
      </w:r>
      <w:r>
        <w:t>ticultural) identities in respect to their degree of assimilation</w:t>
      </w:r>
      <w:r>
        <w:rPr>
          <w:spacing w:val="1"/>
        </w:rPr>
        <w:t xml:space="preserve"> </w:t>
      </w:r>
      <w:r>
        <w:t xml:space="preserve">into Aotearoa New Zealand </w:t>
      </w:r>
      <w:r>
        <w:rPr>
          <w:vertAlign w:val="superscript"/>
        </w:rPr>
        <w:t>149,153–157</w:t>
      </w:r>
      <w:r>
        <w:t>. Often, migrants undergo a process of hybridisation wherein they</w:t>
      </w:r>
      <w:r>
        <w:rPr>
          <w:spacing w:val="-52"/>
        </w:rPr>
        <w:t xml:space="preserve"> </w:t>
      </w:r>
      <w:r>
        <w:t>identify themselves with a new identity, one that maintains both ethnic and religious a</w:t>
      </w:r>
      <w:r>
        <w:t>ffiliations but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strong</w:t>
      </w:r>
      <w:r>
        <w:rPr>
          <w:spacing w:val="-3"/>
        </w:rPr>
        <w:t xml:space="preserve"> </w:t>
      </w:r>
      <w:r>
        <w:t>identification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Aotearoa</w:t>
      </w:r>
      <w:r>
        <w:rPr>
          <w:spacing w:val="3"/>
        </w:rPr>
        <w:t xml:space="preserve"> </w:t>
      </w:r>
      <w:r>
        <w:t>New Zealand culture</w:t>
      </w:r>
      <w:r>
        <w:rPr>
          <w:vertAlign w:val="superscript"/>
        </w:rPr>
        <w:t>158</w:t>
      </w:r>
      <w:r>
        <w:t>.</w:t>
      </w:r>
    </w:p>
    <w:p w14:paraId="39DFD338" w14:textId="77777777" w:rsidR="002A14F8" w:rsidRDefault="003458B8">
      <w:pPr>
        <w:pStyle w:val="BodyText"/>
        <w:spacing w:before="157" w:line="259" w:lineRule="auto"/>
        <w:ind w:left="540" w:right="486"/>
      </w:pPr>
      <w:r>
        <w:t>Ethnic communities often have intergenerational issues. That is, there is a gradual shift in culture from</w:t>
      </w:r>
      <w:r>
        <w:rPr>
          <w:spacing w:val="-52"/>
        </w:rPr>
        <w:t xml:space="preserve"> </w:t>
      </w:r>
      <w:r>
        <w:t>first generation to second and third generation Pacific New Zealander</w:t>
      </w:r>
      <w:r>
        <w:t>s, away from the church as their</w:t>
      </w:r>
      <w:r>
        <w:rPr>
          <w:spacing w:val="1"/>
        </w:rPr>
        <w:t xml:space="preserve"> </w:t>
      </w:r>
      <w:r>
        <w:t>main collective institution, to other support systems</w:t>
      </w:r>
      <w:r>
        <w:rPr>
          <w:vertAlign w:val="superscript"/>
        </w:rPr>
        <w:t>6</w:t>
      </w:r>
      <w:r>
        <w:t>. There needs to be active and open dialogue</w:t>
      </w:r>
      <w:r>
        <w:rPr>
          <w:spacing w:val="1"/>
        </w:rPr>
        <w:t xml:space="preserve"> </w:t>
      </w:r>
      <w:r>
        <w:t>between parents of migrants and teachers in order to enhance to understanding of the heterogeneous</w:t>
      </w:r>
      <w:r>
        <w:rPr>
          <w:spacing w:val="1"/>
        </w:rPr>
        <w:t xml:space="preserve"> </w:t>
      </w:r>
      <w:r>
        <w:t>expectations of each othe</w:t>
      </w:r>
      <w:r>
        <w:t>r, and developing respectful relationships, inclusive practices and</w:t>
      </w:r>
      <w:r>
        <w:rPr>
          <w:spacing w:val="1"/>
        </w:rPr>
        <w:t xml:space="preserve"> </w:t>
      </w:r>
      <w:r>
        <w:t>cohesiveness</w:t>
      </w:r>
      <w:r>
        <w:rPr>
          <w:vertAlign w:val="superscript"/>
        </w:rPr>
        <w:t>156,159</w:t>
      </w:r>
      <w:r>
        <w:t>. While, for example, Pacific peoples are continuing to maintain their own cultural</w:t>
      </w:r>
      <w:r>
        <w:rPr>
          <w:spacing w:val="1"/>
        </w:rPr>
        <w:t xml:space="preserve"> </w:t>
      </w:r>
      <w:r>
        <w:t>norms, they are also adapting, evolving and responding to the environment (context) i</w:t>
      </w:r>
      <w:r>
        <w:t>n which they</w:t>
      </w:r>
      <w:r>
        <w:rPr>
          <w:spacing w:val="1"/>
        </w:rPr>
        <w:t xml:space="preserve"> </w:t>
      </w:r>
      <w:r>
        <w:t>live</w:t>
      </w:r>
      <w:r>
        <w:rPr>
          <w:vertAlign w:val="superscript"/>
        </w:rPr>
        <w:t>6</w:t>
      </w:r>
      <w:r>
        <w:t>. This pattern has also been reflected by young Bhutanese women who felt they would readily fit</w:t>
      </w:r>
      <w:r>
        <w:rPr>
          <w:spacing w:val="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Aotearoa</w:t>
      </w:r>
      <w:r>
        <w:rPr>
          <w:spacing w:val="-1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Zealand</w:t>
      </w:r>
      <w:r>
        <w:rPr>
          <w:spacing w:val="-1"/>
        </w:rPr>
        <w:t xml:space="preserve"> </w:t>
      </w:r>
      <w:r>
        <w:t>but were</w:t>
      </w:r>
      <w:r>
        <w:rPr>
          <w:spacing w:val="-1"/>
        </w:rPr>
        <w:t xml:space="preserve"> </w:t>
      </w:r>
      <w:r>
        <w:t>often</w:t>
      </w:r>
      <w:r>
        <w:rPr>
          <w:spacing w:val="-3"/>
        </w:rPr>
        <w:t xml:space="preserve"> </w:t>
      </w:r>
      <w:r>
        <w:t>held</w:t>
      </w:r>
      <w:r>
        <w:rPr>
          <w:spacing w:val="-2"/>
        </w:rPr>
        <w:t xml:space="preserve"> </w:t>
      </w:r>
      <w:r>
        <w:t>back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adults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family/whānau</w:t>
      </w:r>
      <w:r>
        <w:rPr>
          <w:spacing w:val="-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imposed</w:t>
      </w:r>
      <w:r>
        <w:rPr>
          <w:spacing w:val="-2"/>
        </w:rPr>
        <w:t xml:space="preserve"> </w:t>
      </w:r>
      <w:r>
        <w:t>their</w:t>
      </w:r>
    </w:p>
    <w:p w14:paraId="5AB6E70E" w14:textId="77777777" w:rsidR="002A14F8" w:rsidRDefault="002A14F8">
      <w:pPr>
        <w:spacing w:line="259" w:lineRule="auto"/>
        <w:sectPr w:rsidR="002A14F8">
          <w:pgSz w:w="11910" w:h="16840"/>
          <w:pgMar w:top="1360" w:right="940" w:bottom="1200" w:left="900" w:header="0" w:footer="1010" w:gutter="0"/>
          <w:cols w:space="720"/>
        </w:sectPr>
      </w:pPr>
    </w:p>
    <w:p w14:paraId="35CAEA84" w14:textId="77777777" w:rsidR="002A14F8" w:rsidRDefault="003458B8">
      <w:pPr>
        <w:pStyle w:val="BodyText"/>
        <w:spacing w:before="78" w:line="259" w:lineRule="auto"/>
        <w:ind w:left="540" w:right="510"/>
      </w:pPr>
      <w:r>
        <w:lastRenderedPageBreak/>
        <w:t>traditional culture on them</w:t>
      </w:r>
      <w:r>
        <w:rPr>
          <w:vertAlign w:val="superscript"/>
        </w:rPr>
        <w:t>145</w:t>
      </w:r>
      <w:r>
        <w:t>. However, there is evidence that migrants may also create home by</w:t>
      </w:r>
      <w:r>
        <w:rPr>
          <w:spacing w:val="1"/>
        </w:rPr>
        <w:t xml:space="preserve"> </w:t>
      </w:r>
      <w:r>
        <w:t>relinking with the past through bringing their culture, traditions, religion, food, practices and language</w:t>
      </w:r>
      <w:r>
        <w:rPr>
          <w:spacing w:val="-52"/>
        </w:rPr>
        <w:t xml:space="preserve"> </w:t>
      </w:r>
      <w:r>
        <w:t>to Aotearoa New Zealand, while some also had more vi</w:t>
      </w:r>
      <w:r>
        <w:t>sibly adapted to Aotearoa New Zealand</w:t>
      </w:r>
      <w:r>
        <w:rPr>
          <w:spacing w:val="1"/>
        </w:rPr>
        <w:t xml:space="preserve"> </w:t>
      </w:r>
      <w:r>
        <w:t>through language and cultural practices</w:t>
      </w:r>
      <w:r>
        <w:rPr>
          <w:vertAlign w:val="superscript"/>
        </w:rPr>
        <w:t>145</w:t>
      </w:r>
      <w:r>
        <w:t>. Over generations, the maintenance of ethnic languages</w:t>
      </w:r>
      <w:r>
        <w:rPr>
          <w:spacing w:val="1"/>
        </w:rPr>
        <w:t xml:space="preserve"> </w:t>
      </w:r>
      <w:r>
        <w:t>occur for a “sense of belonging and imagination” rather than a state of necessity</w:t>
      </w:r>
      <w:r>
        <w:rPr>
          <w:vertAlign w:val="superscript"/>
        </w:rPr>
        <w:t>160</w:t>
      </w:r>
      <w:r>
        <w:t>. Ethnic</w:t>
      </w:r>
      <w:r>
        <w:rPr>
          <w:spacing w:val="1"/>
        </w:rPr>
        <w:t xml:space="preserve"> </w:t>
      </w:r>
      <w:r>
        <w:t>communities’ wellbeing is i</w:t>
      </w:r>
      <w:r>
        <w:t>mpacted upon when there is a generalised or universal view about</w:t>
      </w:r>
      <w:r>
        <w:rPr>
          <w:spacing w:val="1"/>
        </w:rPr>
        <w:t xml:space="preserve"> </w:t>
      </w:r>
      <w:r>
        <w:t>wellbeing and in the ethnic minority diaspora that have neglected the cultural voices in the past</w:t>
      </w:r>
      <w:r>
        <w:rPr>
          <w:vertAlign w:val="superscript"/>
        </w:rPr>
        <w:t>161</w:t>
      </w:r>
      <w:r>
        <w:t>. If</w:t>
      </w:r>
      <w:r>
        <w:rPr>
          <w:spacing w:val="1"/>
        </w:rPr>
        <w:t xml:space="preserve"> </w:t>
      </w:r>
      <w:r>
        <w:t>the cultural incursions of language, culture and the identity of ethnic communities in</w:t>
      </w:r>
      <w:r>
        <w:t xml:space="preserve"> Aotearoa New</w:t>
      </w:r>
      <w:r>
        <w:rPr>
          <w:spacing w:val="1"/>
        </w:rPr>
        <w:t xml:space="preserve"> </w:t>
      </w:r>
      <w:r>
        <w:t>Zealand</w:t>
      </w:r>
      <w:r>
        <w:rPr>
          <w:spacing w:val="1"/>
        </w:rPr>
        <w:t xml:space="preserve"> </w:t>
      </w:r>
      <w:r>
        <w:t>continue to occur, it will threaten their very existence</w:t>
      </w:r>
      <w:r>
        <w:rPr>
          <w:vertAlign w:val="superscript"/>
        </w:rPr>
        <w:t>162</w:t>
      </w:r>
      <w:r>
        <w:t>. There is a need to maintain and</w:t>
      </w:r>
      <w:r>
        <w:rPr>
          <w:spacing w:val="1"/>
        </w:rPr>
        <w:t xml:space="preserve"> </w:t>
      </w:r>
      <w:r>
        <w:t>support ethnic communities’ language acquisition and cultural values, and promote the cohesion of</w:t>
      </w:r>
      <w:r>
        <w:rPr>
          <w:spacing w:val="1"/>
        </w:rPr>
        <w:t xml:space="preserve"> </w:t>
      </w:r>
      <w:r>
        <w:t xml:space="preserve">families and spirituality </w:t>
      </w:r>
      <w:r>
        <w:rPr>
          <w:vertAlign w:val="superscript"/>
        </w:rPr>
        <w:t>162–164</w:t>
      </w:r>
      <w:r>
        <w:t xml:space="preserve"> that shap</w:t>
      </w:r>
      <w:r>
        <w:t>e successful learning as well as retaining values, identities and</w:t>
      </w:r>
      <w:r>
        <w:rPr>
          <w:spacing w:val="-52"/>
        </w:rPr>
        <w:t xml:space="preserve"> </w:t>
      </w:r>
      <w:r>
        <w:t xml:space="preserve">cultures </w:t>
      </w:r>
      <w:r>
        <w:rPr>
          <w:vertAlign w:val="superscript"/>
        </w:rPr>
        <w:t>161,162</w:t>
      </w:r>
      <w:r>
        <w:t>.</w:t>
      </w:r>
    </w:p>
    <w:p w14:paraId="4493890B" w14:textId="77777777" w:rsidR="002A14F8" w:rsidRDefault="003458B8">
      <w:pPr>
        <w:pStyle w:val="BodyText"/>
        <w:spacing w:before="158" w:line="259" w:lineRule="auto"/>
        <w:ind w:left="540" w:right="499"/>
      </w:pPr>
      <w:r>
        <w:t>Though language and culture maintenance is valuable, it is also important to have a reasonable</w:t>
      </w:r>
      <w:r>
        <w:rPr>
          <w:spacing w:val="1"/>
        </w:rPr>
        <w:t xml:space="preserve"> </w:t>
      </w:r>
      <w:r>
        <w:t xml:space="preserve">standard of English language to enable inclusion. Effective English language </w:t>
      </w:r>
      <w:r>
        <w:t>skills lie at the heart of</w:t>
      </w:r>
      <w:r>
        <w:rPr>
          <w:spacing w:val="1"/>
        </w:rPr>
        <w:t xml:space="preserve"> </w:t>
      </w:r>
      <w:r>
        <w:t>effective communication between diverse groups in Aotearoa New Zealand</w:t>
      </w:r>
      <w:r>
        <w:rPr>
          <w:vertAlign w:val="superscript"/>
        </w:rPr>
        <w:t>5</w:t>
      </w:r>
      <w:r>
        <w:t>. Proficiency in English</w:t>
      </w:r>
      <w:r>
        <w:rPr>
          <w:spacing w:val="1"/>
        </w:rPr>
        <w:t xml:space="preserve"> </w:t>
      </w:r>
      <w:r>
        <w:t>language affects migrants’ sense of self-value, which consequently influences their sense of belonging</w:t>
      </w:r>
      <w:r>
        <w:rPr>
          <w:spacing w:val="-52"/>
        </w:rPr>
        <w:t xml:space="preserve"> </w:t>
      </w:r>
      <w:r>
        <w:t>in Aotearoa New Zealand</w:t>
      </w:r>
      <w:r>
        <w:rPr>
          <w:vertAlign w:val="superscript"/>
        </w:rPr>
        <w:t>165</w:t>
      </w:r>
      <w:r>
        <w:t>. Fo</w:t>
      </w:r>
      <w:r>
        <w:t>r those who English is their first language, there needs to be</w:t>
      </w:r>
      <w:r>
        <w:rPr>
          <w:spacing w:val="1"/>
        </w:rPr>
        <w:t xml:space="preserve"> </w:t>
      </w:r>
      <w:r>
        <w:t>encouragement to learn another language in order to enhance appreciation of different cultures and</w:t>
      </w:r>
      <w:r>
        <w:rPr>
          <w:spacing w:val="1"/>
        </w:rPr>
        <w:t xml:space="preserve"> </w:t>
      </w:r>
      <w:r>
        <w:t>world views</w:t>
      </w:r>
      <w:r>
        <w:rPr>
          <w:vertAlign w:val="superscript"/>
        </w:rPr>
        <w:t>5</w:t>
      </w:r>
      <w:r>
        <w:t>. While English communication may not necessarily be a determinant towards racial</w:t>
      </w:r>
      <w:r>
        <w:rPr>
          <w:spacing w:val="1"/>
        </w:rPr>
        <w:t xml:space="preserve"> </w:t>
      </w:r>
      <w:r>
        <w:t>discrimination, adequate levels of English language proficiency poses an advantage for effective</w:t>
      </w:r>
      <w:r>
        <w:rPr>
          <w:spacing w:val="1"/>
        </w:rPr>
        <w:t xml:space="preserve"> </w:t>
      </w:r>
      <w:r>
        <w:t>intercultural communication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to overcome</w:t>
      </w:r>
      <w:r>
        <w:rPr>
          <w:spacing w:val="-1"/>
        </w:rPr>
        <w:t xml:space="preserve"> </w:t>
      </w:r>
      <w:r>
        <w:t>challenges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life</w:t>
      </w:r>
      <w:r>
        <w:rPr>
          <w:vertAlign w:val="superscript"/>
        </w:rPr>
        <w:t>145,152,153,166,167</w:t>
      </w:r>
      <w:r>
        <w:t>.</w:t>
      </w:r>
    </w:p>
    <w:p w14:paraId="6AFD4296" w14:textId="77777777" w:rsidR="002A14F8" w:rsidRDefault="003458B8">
      <w:pPr>
        <w:pStyle w:val="BodyText"/>
        <w:spacing w:before="158" w:line="259" w:lineRule="auto"/>
        <w:ind w:left="540" w:right="518"/>
      </w:pPr>
      <w:r>
        <w:t>The education system needs to play a bigger role in informing and bui</w:t>
      </w:r>
      <w:r>
        <w:t>lding a culture of diversity and</w:t>
      </w:r>
      <w:r>
        <w:rPr>
          <w:spacing w:val="1"/>
        </w:rPr>
        <w:t xml:space="preserve"> </w:t>
      </w:r>
      <w:r>
        <w:t>inclusion. Though some schools are adapting to cultural needs, the process of change is slow in terms</w:t>
      </w:r>
      <w:r>
        <w:rPr>
          <w:spacing w:val="1"/>
        </w:rPr>
        <w:t xml:space="preserve"> </w:t>
      </w:r>
      <w:r>
        <w:t>of providing for different cultural needs and ways of learning. Existing policies and guidelines need to</w:t>
      </w:r>
      <w:r>
        <w:rPr>
          <w:spacing w:val="-52"/>
        </w:rPr>
        <w:t xml:space="preserve"> </w:t>
      </w:r>
      <w:r>
        <w:t>review how to hi</w:t>
      </w:r>
      <w:r>
        <w:t>ghlight successful strategies to support ethnic communities in all levels of education.</w:t>
      </w:r>
      <w:r>
        <w:rPr>
          <w:spacing w:val="1"/>
        </w:rPr>
        <w:t xml:space="preserve"> </w:t>
      </w:r>
      <w:r>
        <w:t>The education system needs to reflect the increasingly diverse character of society by providing fit-</w:t>
      </w:r>
      <w:r>
        <w:rPr>
          <w:spacing w:val="1"/>
        </w:rPr>
        <w:t xml:space="preserve"> </w:t>
      </w:r>
      <w:r>
        <w:t>for-purpose education and training for cultural and religious awar</w:t>
      </w:r>
      <w:r>
        <w:t>eness</w:t>
      </w:r>
      <w:r>
        <w:rPr>
          <w:vertAlign w:val="superscript"/>
        </w:rPr>
        <w:t>168</w:t>
      </w:r>
      <w:r>
        <w:t>. Eurocentric educational</w:t>
      </w:r>
      <w:r>
        <w:rPr>
          <w:spacing w:val="1"/>
        </w:rPr>
        <w:t xml:space="preserve"> </w:t>
      </w:r>
      <w:r>
        <w:t>environments with an over-emphasis of Western ideologies in curricula, reinforce the “pedagogy of</w:t>
      </w:r>
      <w:r>
        <w:rPr>
          <w:spacing w:val="1"/>
        </w:rPr>
        <w:t xml:space="preserve"> </w:t>
      </w:r>
      <w:r>
        <w:t>the oppressed”</w:t>
      </w:r>
      <w:r>
        <w:rPr>
          <w:vertAlign w:val="superscript"/>
        </w:rPr>
        <w:t>166,169</w:t>
      </w:r>
      <w:r>
        <w:t>. Curriculum contents that have integrated cultural knowledge enable learning</w:t>
      </w:r>
      <w:r>
        <w:rPr>
          <w:spacing w:val="1"/>
        </w:rPr>
        <w:t xml:space="preserve"> </w:t>
      </w:r>
      <w:r>
        <w:t xml:space="preserve">opportunities for ethnic </w:t>
      </w:r>
      <w:r>
        <w:t>communities to realise their potential and acknowledge their</w:t>
      </w:r>
      <w:r>
        <w:rPr>
          <w:spacing w:val="1"/>
        </w:rPr>
        <w:t xml:space="preserve"> </w:t>
      </w:r>
      <w:r>
        <w:t>uniqueness</w:t>
      </w:r>
      <w:r>
        <w:rPr>
          <w:vertAlign w:val="superscript"/>
        </w:rPr>
        <w:t>166,169,170</w:t>
      </w:r>
      <w:r>
        <w:t>. Responsible educational leadership considers the relevance of cultural and</w:t>
      </w:r>
      <w:r>
        <w:rPr>
          <w:spacing w:val="1"/>
        </w:rPr>
        <w:t xml:space="preserve"> </w:t>
      </w:r>
      <w:r>
        <w:t>religious backgrounds</w:t>
      </w:r>
      <w:r>
        <w:rPr>
          <w:vertAlign w:val="superscript"/>
        </w:rPr>
        <w:t>171</w:t>
      </w:r>
      <w:r>
        <w:t>, validating the relevance of wisdom from non-Pākehā cultures in</w:t>
      </w:r>
      <w:r>
        <w:rPr>
          <w:spacing w:val="1"/>
        </w:rPr>
        <w:t xml:space="preserve"> </w:t>
      </w:r>
      <w:r>
        <w:t>educatio</w:t>
      </w:r>
      <w:r>
        <w:t>n</w:t>
      </w:r>
      <w:r>
        <w:rPr>
          <w:vertAlign w:val="superscript"/>
        </w:rPr>
        <w:t>172</w:t>
      </w:r>
      <w:r>
        <w:t>, and recognising the contribution of each culture in the intercultural space that allows the</w:t>
      </w:r>
      <w:r>
        <w:rPr>
          <w:spacing w:val="1"/>
        </w:rPr>
        <w:t xml:space="preserve"> </w:t>
      </w:r>
      <w:r>
        <w:t>formulation of identities that align with core school values</w:t>
      </w:r>
      <w:r>
        <w:rPr>
          <w:vertAlign w:val="superscript"/>
        </w:rPr>
        <w:t>172</w:t>
      </w:r>
      <w:r>
        <w:t>. While there are education leaders who</w:t>
      </w:r>
      <w:r>
        <w:rPr>
          <w:spacing w:val="1"/>
        </w:rPr>
        <w:t xml:space="preserve"> </w:t>
      </w:r>
      <w:r>
        <w:t>value ethnic diversity and are committed to improving t</w:t>
      </w:r>
      <w:r>
        <w:t>he academic achievement of all students, the</w:t>
      </w:r>
      <w:r>
        <w:rPr>
          <w:spacing w:val="1"/>
        </w:rPr>
        <w:t xml:space="preserve"> </w:t>
      </w:r>
      <w:r>
        <w:t>evidence for inclusive practices to improve student success has been less apparent</w:t>
      </w:r>
      <w:r>
        <w:rPr>
          <w:vertAlign w:val="superscript"/>
        </w:rPr>
        <w:t>173</w:t>
      </w:r>
      <w:r>
        <w:t>. Inclusive</w:t>
      </w:r>
      <w:r>
        <w:rPr>
          <w:spacing w:val="1"/>
        </w:rPr>
        <w:t xml:space="preserve"> </w:t>
      </w:r>
      <w:r>
        <w:t>practices must be based on, and applied within cultural contexts</w:t>
      </w:r>
      <w:r>
        <w:rPr>
          <w:vertAlign w:val="superscript"/>
        </w:rPr>
        <w:t>173</w:t>
      </w:r>
      <w:r>
        <w:t>. Teachers are responsible for</w:t>
      </w:r>
      <w:r>
        <w:rPr>
          <w:spacing w:val="1"/>
        </w:rPr>
        <w:t xml:space="preserve"> </w:t>
      </w:r>
      <w:r>
        <w:t>cultural compete</w:t>
      </w:r>
      <w:r>
        <w:t>ncy to overcome negative assumptions and stereotypes to become more familiar with</w:t>
      </w:r>
      <w:r>
        <w:rPr>
          <w:spacing w:val="-52"/>
        </w:rPr>
        <w:t xml:space="preserve"> </w:t>
      </w:r>
      <w:r>
        <w:t xml:space="preserve">other ethnic communities </w:t>
      </w:r>
      <w:r>
        <w:rPr>
          <w:vertAlign w:val="superscript"/>
        </w:rPr>
        <w:t>170,171</w:t>
      </w:r>
      <w:r>
        <w:t xml:space="preserve"> which should be supported by culturally appropriate pastoral support</w:t>
      </w:r>
      <w:r>
        <w:rPr>
          <w:spacing w:val="1"/>
        </w:rPr>
        <w:t xml:space="preserve"> </w:t>
      </w:r>
      <w:r>
        <w:t>services</w:t>
      </w:r>
      <w:r>
        <w:rPr>
          <w:vertAlign w:val="superscript"/>
        </w:rPr>
        <w:t>169</w:t>
      </w:r>
      <w:r>
        <w:t>. Provision of cultural spaces (e.g. fono room for Pacific Pe</w:t>
      </w:r>
      <w:r>
        <w:t>oples) and participation in</w:t>
      </w:r>
      <w:r>
        <w:rPr>
          <w:spacing w:val="1"/>
        </w:rPr>
        <w:t xml:space="preserve"> </w:t>
      </w:r>
      <w:r>
        <w:t>cultural</w:t>
      </w:r>
      <w:r>
        <w:rPr>
          <w:spacing w:val="2"/>
        </w:rPr>
        <w:t xml:space="preserve"> </w:t>
      </w:r>
      <w:r>
        <w:t>events</w:t>
      </w:r>
      <w:r>
        <w:rPr>
          <w:spacing w:val="1"/>
        </w:rPr>
        <w:t xml:space="preserve"> </w:t>
      </w:r>
      <w:r>
        <w:t>provides</w:t>
      </w:r>
      <w:r>
        <w:rPr>
          <w:spacing w:val="1"/>
        </w:rPr>
        <w:t xml:space="preserve"> </w:t>
      </w:r>
      <w:r>
        <w:t>ethnic</w:t>
      </w:r>
      <w:r>
        <w:rPr>
          <w:spacing w:val="1"/>
        </w:rPr>
        <w:t xml:space="preserve"> </w:t>
      </w:r>
      <w:r>
        <w:t>communities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sense of</w:t>
      </w:r>
      <w:r>
        <w:rPr>
          <w:spacing w:val="-1"/>
        </w:rPr>
        <w:t xml:space="preserve"> </w:t>
      </w:r>
      <w:r>
        <w:t>place</w:t>
      </w:r>
      <w:r>
        <w:rPr>
          <w:spacing w:val="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community</w:t>
      </w:r>
      <w:r>
        <w:rPr>
          <w:vertAlign w:val="superscript"/>
        </w:rPr>
        <w:t>169,170</w:t>
      </w:r>
      <w:r>
        <w:t>.</w:t>
      </w:r>
      <w:r>
        <w:rPr>
          <w:spacing w:val="4"/>
        </w:rPr>
        <w:t xml:space="preserve"> </w:t>
      </w:r>
      <w:r>
        <w:t>Having</w:t>
      </w:r>
      <w:r>
        <w:rPr>
          <w:spacing w:val="-2"/>
        </w:rPr>
        <w:t xml:space="preserve"> </w:t>
      </w:r>
      <w:r>
        <w:t>role</w:t>
      </w:r>
      <w:r>
        <w:rPr>
          <w:spacing w:val="1"/>
        </w:rPr>
        <w:t xml:space="preserve"> </w:t>
      </w:r>
      <w:r>
        <w:t>models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educational institutions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crucial success</w:t>
      </w:r>
      <w:r>
        <w:rPr>
          <w:spacing w:val="-3"/>
        </w:rPr>
        <w:t xml:space="preserve"> </w:t>
      </w:r>
      <w:r>
        <w:t>factor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youth</w:t>
      </w:r>
      <w:r>
        <w:rPr>
          <w:spacing w:val="1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ethnic</w:t>
      </w:r>
      <w:r>
        <w:rPr>
          <w:spacing w:val="-3"/>
        </w:rPr>
        <w:t xml:space="preserve"> </w:t>
      </w:r>
      <w:r>
        <w:t>communities</w:t>
      </w:r>
      <w:r>
        <w:rPr>
          <w:spacing w:val="1"/>
        </w:rPr>
        <w:t xml:space="preserve"> </w:t>
      </w:r>
      <w:r>
        <w:rPr>
          <w:vertAlign w:val="superscript"/>
        </w:rPr>
        <w:t>169</w:t>
      </w:r>
      <w:r>
        <w:t>.</w:t>
      </w:r>
    </w:p>
    <w:p w14:paraId="10F05B4C" w14:textId="77777777" w:rsidR="002A14F8" w:rsidRDefault="003458B8">
      <w:pPr>
        <w:pStyle w:val="BodyText"/>
        <w:spacing w:before="158" w:line="259" w:lineRule="auto"/>
        <w:ind w:left="540" w:right="557"/>
      </w:pPr>
      <w:r>
        <w:t>International students face particular challenges where academia experiences differ from the home</w:t>
      </w:r>
      <w:r>
        <w:rPr>
          <w:spacing w:val="1"/>
        </w:rPr>
        <w:t xml:space="preserve"> </w:t>
      </w:r>
      <w:r>
        <w:t>country</w:t>
      </w:r>
      <w:r>
        <w:rPr>
          <w:vertAlign w:val="superscript"/>
        </w:rPr>
        <w:t>166,167</w:t>
      </w:r>
      <w:r>
        <w:t>. They have higher levels of spirituality and religiousness, and were more likely to use</w:t>
      </w:r>
      <w:r>
        <w:rPr>
          <w:spacing w:val="1"/>
        </w:rPr>
        <w:t xml:space="preserve"> </w:t>
      </w:r>
      <w:r>
        <w:t>harmful religious coping methods if they felt that thei</w:t>
      </w:r>
      <w:r>
        <w:t>r religious identities were not affirmed</w:t>
      </w:r>
      <w:r>
        <w:rPr>
          <w:vertAlign w:val="superscript"/>
        </w:rPr>
        <w:t>147</w:t>
      </w:r>
      <w:r>
        <w:t>. When</w:t>
      </w:r>
      <w:r>
        <w:rPr>
          <w:spacing w:val="-52"/>
        </w:rPr>
        <w:t xml:space="preserve"> </w:t>
      </w:r>
      <w:r>
        <w:t>there is a fostering of interaction between local and international students through events that</w:t>
      </w:r>
      <w:r>
        <w:rPr>
          <w:spacing w:val="1"/>
        </w:rPr>
        <w:t xml:space="preserve"> </w:t>
      </w:r>
      <w:r>
        <w:t>celebrate cultural diversity it enhances the process of cultural adaptation and a sense of empathy</w:t>
      </w:r>
      <w:r>
        <w:rPr>
          <w:spacing w:val="1"/>
        </w:rPr>
        <w:t xml:space="preserve"> </w:t>
      </w:r>
      <w:r>
        <w:t>among</w:t>
      </w:r>
      <w:r>
        <w:rPr>
          <w:spacing w:val="-4"/>
        </w:rPr>
        <w:t xml:space="preserve"> </w:t>
      </w:r>
      <w:r>
        <w:t>loca</w:t>
      </w:r>
      <w:r>
        <w:t>l</w:t>
      </w:r>
      <w:r>
        <w:rPr>
          <w:spacing w:val="-2"/>
        </w:rPr>
        <w:t xml:space="preserve"> </w:t>
      </w:r>
      <w:r>
        <w:t>students</w:t>
      </w:r>
      <w:r>
        <w:rPr>
          <w:spacing w:val="-2"/>
        </w:rPr>
        <w:t xml:space="preserve"> </w:t>
      </w:r>
      <w:r>
        <w:t>towards international</w:t>
      </w:r>
      <w:r>
        <w:rPr>
          <w:spacing w:val="-2"/>
        </w:rPr>
        <w:t xml:space="preserve"> </w:t>
      </w:r>
      <w:r>
        <w:t>students</w:t>
      </w:r>
      <w:r>
        <w:rPr>
          <w:vertAlign w:val="superscript"/>
        </w:rPr>
        <w:t>146,166</w:t>
      </w:r>
      <w:r>
        <w:t>.</w:t>
      </w:r>
    </w:p>
    <w:p w14:paraId="6FEB2E2D" w14:textId="77777777" w:rsidR="002A14F8" w:rsidRDefault="002A14F8">
      <w:pPr>
        <w:spacing w:line="259" w:lineRule="auto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2C575DB3" w14:textId="77777777" w:rsidR="002A14F8" w:rsidRDefault="003458B8">
      <w:pPr>
        <w:pStyle w:val="BodyText"/>
        <w:spacing w:before="78" w:line="259" w:lineRule="auto"/>
        <w:ind w:left="540" w:right="503"/>
      </w:pPr>
      <w:r>
        <w:lastRenderedPageBreak/>
        <w:t>There are issues of employment opportunities for many within ethnic communities. Muslim women in</w:t>
      </w:r>
      <w:r>
        <w:rPr>
          <w:spacing w:val="-52"/>
        </w:rPr>
        <w:t xml:space="preserve"> </w:t>
      </w:r>
      <w:r>
        <w:t>particular face particular barriers in re-entering the workforce</w:t>
      </w:r>
      <w:r>
        <w:rPr>
          <w:vertAlign w:val="superscript"/>
        </w:rPr>
        <w:t>168</w:t>
      </w:r>
      <w:r>
        <w:t>. There needs to be more</w:t>
      </w:r>
      <w:r>
        <w:t xml:space="preserve"> equal</w:t>
      </w:r>
      <w:r>
        <w:rPr>
          <w:spacing w:val="1"/>
        </w:rPr>
        <w:t xml:space="preserve"> </w:t>
      </w:r>
      <w:r>
        <w:t>opportunities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those who</w:t>
      </w:r>
      <w:r>
        <w:rPr>
          <w:spacing w:val="-3"/>
        </w:rPr>
        <w:t xml:space="preserve"> </w:t>
      </w:r>
      <w:r>
        <w:t>face</w:t>
      </w:r>
      <w:r>
        <w:rPr>
          <w:spacing w:val="-2"/>
        </w:rPr>
        <w:t xml:space="preserve"> </w:t>
      </w:r>
      <w:r>
        <w:t>higher</w:t>
      </w:r>
      <w:r>
        <w:rPr>
          <w:spacing w:val="-2"/>
        </w:rPr>
        <w:t xml:space="preserve"> </w:t>
      </w:r>
      <w:r>
        <w:t>barriers to</w:t>
      </w:r>
      <w:r>
        <w:rPr>
          <w:spacing w:val="-3"/>
        </w:rPr>
        <w:t xml:space="preserve"> </w:t>
      </w:r>
      <w:r>
        <w:t>entering</w:t>
      </w:r>
      <w:r>
        <w:rPr>
          <w:spacing w:val="-3"/>
        </w:rPr>
        <w:t xml:space="preserve"> </w:t>
      </w:r>
      <w:r>
        <w:t>and progressing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force</w:t>
      </w:r>
      <w:r>
        <w:rPr>
          <w:vertAlign w:val="superscript"/>
        </w:rPr>
        <w:t>168</w:t>
      </w:r>
      <w:r>
        <w:t>.</w:t>
      </w:r>
    </w:p>
    <w:p w14:paraId="2EB25E7D" w14:textId="77777777" w:rsidR="002A14F8" w:rsidRDefault="003458B8">
      <w:pPr>
        <w:pStyle w:val="BodyText"/>
        <w:spacing w:line="250" w:lineRule="exact"/>
        <w:ind w:left="540"/>
      </w:pP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also a need</w:t>
      </w:r>
      <w:r>
        <w:rPr>
          <w:spacing w:val="-4"/>
        </w:rPr>
        <w:t xml:space="preserve"> </w:t>
      </w:r>
      <w:r>
        <w:t>to look</w:t>
      </w:r>
      <w:r>
        <w:rPr>
          <w:spacing w:val="-3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incorporate cultural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religious</w:t>
      </w:r>
      <w:r>
        <w:rPr>
          <w:spacing w:val="-2"/>
        </w:rPr>
        <w:t xml:space="preserve"> </w:t>
      </w:r>
      <w:r>
        <w:t>diversity</w:t>
      </w:r>
      <w:r>
        <w:rPr>
          <w:spacing w:val="-4"/>
        </w:rPr>
        <w:t xml:space="preserve"> </w:t>
      </w:r>
      <w:r>
        <w:t>in workplaces</w:t>
      </w:r>
      <w:r>
        <w:rPr>
          <w:vertAlign w:val="superscript"/>
        </w:rPr>
        <w:t>168</w:t>
      </w:r>
      <w:r>
        <w:t>.</w:t>
      </w:r>
    </w:p>
    <w:p w14:paraId="0BDFBFAC" w14:textId="77777777" w:rsidR="002A14F8" w:rsidRDefault="003458B8">
      <w:pPr>
        <w:pStyle w:val="BodyText"/>
        <w:spacing w:before="183" w:line="259" w:lineRule="auto"/>
        <w:ind w:left="540" w:right="633"/>
      </w:pPr>
      <w:r>
        <w:t>Ethnic communities face barriers due to the colonial or Eurocentric ideals that undermine the work</w:t>
      </w:r>
      <w:r>
        <w:rPr>
          <w:spacing w:val="1"/>
        </w:rPr>
        <w:t xml:space="preserve"> </w:t>
      </w:r>
      <w:r>
        <w:t>that reflects cultural diversity</w:t>
      </w:r>
      <w:r>
        <w:rPr>
          <w:vertAlign w:val="superscript"/>
        </w:rPr>
        <w:t>159,162</w:t>
      </w:r>
      <w:r>
        <w:t>. These lead to issues that impact upon life and wellbeing - in</w:t>
      </w:r>
      <w:r>
        <w:rPr>
          <w:spacing w:val="1"/>
        </w:rPr>
        <w:t xml:space="preserve"> </w:t>
      </w:r>
      <w:r>
        <w:t xml:space="preserve">particular racism and stereotyping. They have adverse </w:t>
      </w:r>
      <w:r>
        <w:t>impacts on a person’s wellbeing and life</w:t>
      </w:r>
      <w:r>
        <w:rPr>
          <w:vertAlign w:val="superscript"/>
        </w:rPr>
        <w:t>168</w:t>
      </w:r>
      <w:r>
        <w:t>.</w:t>
      </w:r>
      <w:r>
        <w:rPr>
          <w:spacing w:val="1"/>
        </w:rPr>
        <w:t xml:space="preserve"> </w:t>
      </w:r>
      <w:r>
        <w:t>Feelings of vulnerability can be enhanced because of the way clothing can visibly identify them with</w:t>
      </w:r>
      <w:r>
        <w:rPr>
          <w:spacing w:val="-52"/>
        </w:rPr>
        <w:t xml:space="preserve"> </w:t>
      </w:r>
      <w:r>
        <w:t>marginalised groups, such as with Muslim women</w:t>
      </w:r>
      <w:r>
        <w:rPr>
          <w:vertAlign w:val="superscript"/>
        </w:rPr>
        <w:t>168</w:t>
      </w:r>
      <w:r>
        <w:t>. Deep-seated racism as a barrier to social</w:t>
      </w:r>
      <w:r>
        <w:rPr>
          <w:spacing w:val="1"/>
        </w:rPr>
        <w:t xml:space="preserve"> </w:t>
      </w:r>
      <w:r>
        <w:t>cohesion is curre</w:t>
      </w:r>
      <w:r>
        <w:t>ntly at the centre of discussions on multiculturalism and inclusion. Racism persists</w:t>
      </w:r>
      <w:r>
        <w:rPr>
          <w:spacing w:val="1"/>
        </w:rPr>
        <w:t xml:space="preserve"> </w:t>
      </w:r>
      <w:r>
        <w:t>both in face-to-face interactions as well as online</w:t>
      </w:r>
      <w:r>
        <w:rPr>
          <w:vertAlign w:val="superscript"/>
        </w:rPr>
        <w:t>168</w:t>
      </w:r>
      <w:r>
        <w:t>. Greater consideration needs to be given to how</w:t>
      </w:r>
      <w:r>
        <w:rPr>
          <w:spacing w:val="1"/>
        </w:rPr>
        <w:t xml:space="preserve"> </w:t>
      </w:r>
      <w:r>
        <w:t>discrimination can be alleviated</w:t>
      </w:r>
      <w:r>
        <w:rPr>
          <w:vertAlign w:val="superscript"/>
        </w:rPr>
        <w:t>163</w:t>
      </w:r>
      <w:r>
        <w:t>. Incidences of subtle racism, or</w:t>
      </w:r>
      <w:r>
        <w:t xml:space="preserve"> being stereotyped are common</w:t>
      </w:r>
      <w:r>
        <w:rPr>
          <w:spacing w:val="1"/>
        </w:rPr>
        <w:t xml:space="preserve"> </w:t>
      </w:r>
      <w:r>
        <w:t>among migrants who are attempting to adapt to the host culture</w:t>
      </w:r>
      <w:r>
        <w:rPr>
          <w:vertAlign w:val="superscript"/>
        </w:rPr>
        <w:t>148,166,174</w:t>
      </w:r>
      <w:r>
        <w:t>. Not bringing these</w:t>
      </w:r>
      <w:r>
        <w:rPr>
          <w:spacing w:val="1"/>
        </w:rPr>
        <w:t xml:space="preserve"> </w:t>
      </w:r>
      <w:r>
        <w:t>occurrences to the forefront can actually allow them to persist and promote the status quo</w:t>
      </w:r>
      <w:r>
        <w:rPr>
          <w:vertAlign w:val="superscript"/>
        </w:rPr>
        <w:t>175</w:t>
      </w:r>
      <w:r>
        <w:t>. While</w:t>
      </w:r>
      <w:r>
        <w:rPr>
          <w:spacing w:val="1"/>
        </w:rPr>
        <w:t xml:space="preserve"> </w:t>
      </w:r>
      <w:r>
        <w:t>this is a critical focus, socie</w:t>
      </w:r>
      <w:r>
        <w:t>ty cannot ignore the wider swath of structural anomalies that equally</w:t>
      </w:r>
      <w:r>
        <w:rPr>
          <w:spacing w:val="1"/>
        </w:rPr>
        <w:t xml:space="preserve"> </w:t>
      </w:r>
      <w:r>
        <w:t>deserve attention</w:t>
      </w:r>
      <w:r>
        <w:rPr>
          <w:vertAlign w:val="superscript"/>
        </w:rPr>
        <w:t>3</w:t>
      </w:r>
      <w:r>
        <w:t>. Addressing racism and stereotypes is critical to empowering all communities in</w:t>
      </w:r>
      <w:r>
        <w:rPr>
          <w:spacing w:val="1"/>
        </w:rPr>
        <w:t xml:space="preserve"> </w:t>
      </w:r>
      <w:r>
        <w:t>Aotearoa</w:t>
      </w:r>
      <w:r>
        <w:rPr>
          <w:spacing w:val="-1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Zealand</w:t>
      </w:r>
      <w:r>
        <w:rPr>
          <w:spacing w:val="1"/>
        </w:rPr>
        <w:t xml:space="preserve"> </w:t>
      </w:r>
      <w:r>
        <w:rPr>
          <w:vertAlign w:val="superscript"/>
        </w:rPr>
        <w:t>163</w:t>
      </w:r>
      <w:r>
        <w:t>.</w:t>
      </w:r>
    </w:p>
    <w:p w14:paraId="21C8F04B" w14:textId="77777777" w:rsidR="002A14F8" w:rsidRDefault="003458B8">
      <w:pPr>
        <w:pStyle w:val="BodyText"/>
        <w:spacing w:before="157" w:line="259" w:lineRule="auto"/>
        <w:ind w:left="540" w:right="1012"/>
      </w:pPr>
      <w:r>
        <w:t>The media has the ability to either enable or inhibit diversity and inclusion. For example, it can</w:t>
      </w:r>
      <w:r>
        <w:rPr>
          <w:spacing w:val="1"/>
        </w:rPr>
        <w:t xml:space="preserve"> </w:t>
      </w:r>
      <w:r>
        <w:t>portray positive messages about ethnic communities without reinforcing negative stereotypes</w:t>
      </w:r>
      <w:r>
        <w:rPr>
          <w:vertAlign w:val="superscript"/>
        </w:rPr>
        <w:t>176</w:t>
      </w:r>
      <w:r>
        <w:t>.</w:t>
      </w:r>
      <w:r>
        <w:rPr>
          <w:spacing w:val="-52"/>
        </w:rPr>
        <w:t xml:space="preserve"> </w:t>
      </w:r>
      <w:r>
        <w:t>Unfortunately, it has often played a negative role in improvi</w:t>
      </w:r>
      <w:r>
        <w:t>ng inclusiveness, belonging and</w:t>
      </w:r>
      <w:r>
        <w:rPr>
          <w:spacing w:val="1"/>
        </w:rPr>
        <w:t xml:space="preserve"> </w:t>
      </w:r>
      <w:r>
        <w:t>cohesiveness within Aotearoa New Zealand. There needs to be more appropriate use of media to</w:t>
      </w:r>
      <w:r>
        <w:rPr>
          <w:spacing w:val="-52"/>
        </w:rPr>
        <w:t xml:space="preserve"> </w:t>
      </w:r>
      <w:r>
        <w:t>reflect diversity and inclusion and counter narratives that perpetuate stereotypes, bias and</w:t>
      </w:r>
      <w:r>
        <w:rPr>
          <w:spacing w:val="1"/>
        </w:rPr>
        <w:t xml:space="preserve"> </w:t>
      </w:r>
      <w:r>
        <w:t>misinformation. Media can share positi</w:t>
      </w:r>
      <w:r>
        <w:t>ve stories in which diverse communities see themselves</w:t>
      </w:r>
      <w:r>
        <w:rPr>
          <w:spacing w:val="1"/>
        </w:rPr>
        <w:t xml:space="preserve"> </w:t>
      </w:r>
      <w:r>
        <w:t>reflected and informed in a way that counters narratives that perpetuate stereotypes, bias and</w:t>
      </w:r>
      <w:r>
        <w:rPr>
          <w:spacing w:val="1"/>
        </w:rPr>
        <w:t xml:space="preserve"> </w:t>
      </w:r>
      <w:r>
        <w:t>misinformation</w:t>
      </w:r>
      <w:r>
        <w:rPr>
          <w:vertAlign w:val="superscript"/>
        </w:rPr>
        <w:t>168</w:t>
      </w:r>
      <w:r>
        <w:t>.</w:t>
      </w:r>
    </w:p>
    <w:p w14:paraId="34B739AD" w14:textId="77777777" w:rsidR="002A14F8" w:rsidRDefault="003458B8">
      <w:pPr>
        <w:pStyle w:val="BodyText"/>
        <w:spacing w:before="159" w:line="259" w:lineRule="auto"/>
        <w:ind w:left="540" w:right="487"/>
      </w:pPr>
      <w:r>
        <w:t>Wellbeing and safety is something that many ethnic communities feel is lacking in their</w:t>
      </w:r>
      <w:r>
        <w:t xml:space="preserve"> personal and</w:t>
      </w:r>
      <w:r>
        <w:rPr>
          <w:spacing w:val="-52"/>
        </w:rPr>
        <w:t xml:space="preserve"> </w:t>
      </w:r>
      <w:r>
        <w:t>social lives. Different cultures may view the notion of mental health differently, for example Pacific</w:t>
      </w:r>
      <w:r>
        <w:rPr>
          <w:spacing w:val="1"/>
        </w:rPr>
        <w:t xml:space="preserve"> </w:t>
      </w:r>
      <w:r>
        <w:t>cultures</w:t>
      </w:r>
      <w:r>
        <w:rPr>
          <w:spacing w:val="-2"/>
        </w:rPr>
        <w:t xml:space="preserve"> </w:t>
      </w:r>
      <w:r>
        <w:t>perceive</w:t>
      </w:r>
      <w:r>
        <w:rPr>
          <w:spacing w:val="-1"/>
        </w:rPr>
        <w:t xml:space="preserve"> </w:t>
      </w:r>
      <w:r>
        <w:t>mental</w:t>
      </w:r>
      <w:r>
        <w:rPr>
          <w:spacing w:val="-3"/>
        </w:rPr>
        <w:t xml:space="preserve"> </w:t>
      </w:r>
      <w:r>
        <w:t>illness</w:t>
      </w:r>
      <w:r>
        <w:rPr>
          <w:spacing w:val="-4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imbalance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occurs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breaching</w:t>
      </w:r>
      <w:r>
        <w:rPr>
          <w:spacing w:val="-5"/>
        </w:rPr>
        <w:t xml:space="preserve"> </w:t>
      </w:r>
      <w:r>
        <w:t>certain</w:t>
      </w:r>
      <w:r>
        <w:rPr>
          <w:spacing w:val="-1"/>
        </w:rPr>
        <w:t xml:space="preserve"> </w:t>
      </w:r>
      <w:r>
        <w:t>customs</w:t>
      </w:r>
      <w:r>
        <w:rPr>
          <w:spacing w:val="-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sacred relationships between an ind</w:t>
      </w:r>
      <w:r>
        <w:t>ividual and their family/whānau, and possibly wider spiritual</w:t>
      </w:r>
      <w:r>
        <w:rPr>
          <w:spacing w:val="1"/>
        </w:rPr>
        <w:t xml:space="preserve"> </w:t>
      </w:r>
      <w:r>
        <w:t>realms. Conceptualisation of wellbeing extends beyond the individual level, and often includes the</w:t>
      </w:r>
      <w:r>
        <w:rPr>
          <w:spacing w:val="1"/>
        </w:rPr>
        <w:t xml:space="preserve"> </w:t>
      </w:r>
      <w:r>
        <w:t>collective</w:t>
      </w:r>
      <w:r>
        <w:rPr>
          <w:spacing w:val="-1"/>
        </w:rPr>
        <w:t xml:space="preserve"> </w:t>
      </w:r>
      <w:r>
        <w:t>such as</w:t>
      </w:r>
      <w:r>
        <w:rPr>
          <w:spacing w:val="-3"/>
        </w:rPr>
        <w:t xml:space="preserve"> </w:t>
      </w:r>
      <w:r>
        <w:t>families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communities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 whole</w:t>
      </w:r>
      <w:r>
        <w:rPr>
          <w:vertAlign w:val="superscript"/>
        </w:rPr>
        <w:t>145,161,164,167,169,170,174</w:t>
      </w:r>
      <w:r>
        <w:t>.</w:t>
      </w:r>
    </w:p>
    <w:p w14:paraId="742C5FCF" w14:textId="77777777" w:rsidR="002A14F8" w:rsidRDefault="003458B8">
      <w:pPr>
        <w:pStyle w:val="BodyText"/>
        <w:spacing w:before="159" w:line="259" w:lineRule="auto"/>
        <w:ind w:left="540" w:right="528"/>
      </w:pPr>
      <w:r>
        <w:t>The issue of safety restricts the ability of women of ethnic communities to participate in society</w:t>
      </w:r>
      <w:r>
        <w:rPr>
          <w:vertAlign w:val="superscript"/>
        </w:rPr>
        <w:t>168</w:t>
      </w:r>
      <w:r>
        <w:t>. It</w:t>
      </w:r>
      <w:r>
        <w:rPr>
          <w:spacing w:val="1"/>
        </w:rPr>
        <w:t xml:space="preserve"> </w:t>
      </w:r>
      <w:r>
        <w:t>has a big impact on health and wellbeing. For Pacific Peoples, their identity and wellbeing includes</w:t>
      </w:r>
      <w:r>
        <w:rPr>
          <w:spacing w:val="1"/>
        </w:rPr>
        <w:t xml:space="preserve"> </w:t>
      </w:r>
      <w:r>
        <w:t>their perceived familial wellbeing; perceived soc</w:t>
      </w:r>
      <w:r>
        <w:t>ietal wellbeing; group membership evaluation;</w:t>
      </w:r>
      <w:r>
        <w:rPr>
          <w:spacing w:val="1"/>
        </w:rPr>
        <w:t xml:space="preserve"> </w:t>
      </w:r>
      <w:r>
        <w:t>Pacific connectedness and belonging; religious centrality and embeddedness; and cultural efficacy</w:t>
      </w:r>
      <w:r>
        <w:rPr>
          <w:vertAlign w:val="superscript"/>
        </w:rPr>
        <w:t>6</w:t>
      </w:r>
      <w:r>
        <w:t>.</w:t>
      </w:r>
      <w:r>
        <w:rPr>
          <w:spacing w:val="1"/>
        </w:rPr>
        <w:t xml:space="preserve"> </w:t>
      </w:r>
      <w:r>
        <w:t>Cultural wellbeing is critical to many ethnic communities. For some, such as with Pacific Peoples, the</w:t>
      </w:r>
      <w:r>
        <w:rPr>
          <w:spacing w:val="-52"/>
        </w:rPr>
        <w:t xml:space="preserve"> </w:t>
      </w:r>
      <w:r>
        <w:t>family/</w:t>
      </w:r>
      <w:r>
        <w:t>whānau is central to wellbeing</w:t>
      </w:r>
      <w:r>
        <w:rPr>
          <w:vertAlign w:val="superscript"/>
        </w:rPr>
        <w:t>6</w:t>
      </w:r>
      <w:r>
        <w:t>. For others, religion also plays a central role to their</w:t>
      </w:r>
      <w:r>
        <w:rPr>
          <w:spacing w:val="1"/>
        </w:rPr>
        <w:t xml:space="preserve"> </w:t>
      </w:r>
      <w:r>
        <w:t>wellbeing</w:t>
      </w:r>
      <w:r>
        <w:rPr>
          <w:vertAlign w:val="superscript"/>
        </w:rPr>
        <w:t>145,147,163,170,174,176,177</w:t>
      </w:r>
      <w:r>
        <w:t>, policy makers need to ensure a safe place for the open practice of</w:t>
      </w:r>
      <w:r>
        <w:rPr>
          <w:spacing w:val="1"/>
        </w:rPr>
        <w:t xml:space="preserve"> </w:t>
      </w:r>
      <w:r>
        <w:t>religions</w:t>
      </w:r>
      <w:r>
        <w:rPr>
          <w:spacing w:val="-3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Aotearoa New</w:t>
      </w:r>
      <w:r>
        <w:rPr>
          <w:spacing w:val="-4"/>
        </w:rPr>
        <w:t xml:space="preserve"> </w:t>
      </w:r>
      <w:r>
        <w:t>Zealand</w:t>
      </w:r>
      <w:r>
        <w:rPr>
          <w:spacing w:val="2"/>
        </w:rPr>
        <w:t xml:space="preserve"> </w:t>
      </w:r>
      <w:r>
        <w:rPr>
          <w:vertAlign w:val="superscript"/>
        </w:rPr>
        <w:t>177</w:t>
      </w:r>
      <w:r>
        <w:t>.</w:t>
      </w:r>
    </w:p>
    <w:p w14:paraId="656490B7" w14:textId="77777777" w:rsidR="002A14F8" w:rsidRDefault="003458B8">
      <w:pPr>
        <w:pStyle w:val="BodyText"/>
        <w:spacing w:before="160" w:line="259" w:lineRule="auto"/>
        <w:ind w:left="540" w:right="492"/>
      </w:pPr>
      <w:r>
        <w:t>Youth from ethnic commu</w:t>
      </w:r>
      <w:r>
        <w:t>nities who had been bullied were more likely to report higher levels of</w:t>
      </w:r>
      <w:r>
        <w:rPr>
          <w:spacing w:val="1"/>
        </w:rPr>
        <w:t xml:space="preserve"> </w:t>
      </w:r>
      <w:r>
        <w:t>mental health concerns and lower life satisfaction</w:t>
      </w:r>
      <w:r>
        <w:rPr>
          <w:vertAlign w:val="superscript"/>
        </w:rPr>
        <w:t>174,175,178</w:t>
      </w:r>
      <w:r>
        <w:t>. Youth who had poor parent-child</w:t>
      </w:r>
      <w:r>
        <w:rPr>
          <w:spacing w:val="1"/>
        </w:rPr>
        <w:t xml:space="preserve"> </w:t>
      </w:r>
      <w:r>
        <w:t>relationships, and were growing up in unstable social communities, were likely to seek fo</w:t>
      </w:r>
      <w:r>
        <w:t>r an identity</w:t>
      </w:r>
      <w:r>
        <w:rPr>
          <w:spacing w:val="1"/>
        </w:rPr>
        <w:t xml:space="preserve"> </w:t>
      </w:r>
      <w:r>
        <w:t>within an alternative group to their family/whānau, including participating in gang activities which are</w:t>
      </w:r>
      <w:r>
        <w:rPr>
          <w:spacing w:val="-52"/>
        </w:rPr>
        <w:t xml:space="preserve"> </w:t>
      </w:r>
      <w:r>
        <w:t>likely to affect their psychological wellbeing</w:t>
      </w:r>
      <w:r>
        <w:rPr>
          <w:vertAlign w:val="superscript"/>
        </w:rPr>
        <w:t>178</w:t>
      </w:r>
      <w:r>
        <w:t>. Healthy parenting and peer relationships are crucial</w:t>
      </w:r>
      <w:r>
        <w:rPr>
          <w:spacing w:val="1"/>
        </w:rPr>
        <w:t xml:space="preserve"> </w:t>
      </w:r>
      <w:r>
        <w:t>for youth who are negotiating the</w:t>
      </w:r>
      <w:r>
        <w:t>ir pathway to adulthood. Mental health treatment and intervention</w:t>
      </w:r>
      <w:r>
        <w:rPr>
          <w:spacing w:val="1"/>
        </w:rPr>
        <w:t xml:space="preserve"> </w:t>
      </w:r>
      <w:r>
        <w:t>initiatives for youth from ethnic communities should include participations from their family/whānau</w:t>
      </w:r>
      <w:r>
        <w:rPr>
          <w:spacing w:val="1"/>
        </w:rPr>
        <w:t xml:space="preserve"> </w:t>
      </w:r>
      <w:r>
        <w:t>members</w:t>
      </w:r>
      <w:r>
        <w:rPr>
          <w:vertAlign w:val="superscript"/>
        </w:rPr>
        <w:t>161,164</w:t>
      </w:r>
      <w:r>
        <w:t>, and be driven by evidence and culture-based practices</w:t>
      </w:r>
      <w:r>
        <w:rPr>
          <w:vertAlign w:val="superscript"/>
        </w:rPr>
        <w:t>179</w:t>
      </w:r>
      <w:r>
        <w:t>. Presence and vi</w:t>
      </w:r>
      <w:r>
        <w:t>sibility of</w:t>
      </w:r>
      <w:r>
        <w:rPr>
          <w:spacing w:val="1"/>
        </w:rPr>
        <w:t xml:space="preserve"> </w:t>
      </w:r>
      <w:r>
        <w:t>mental</w:t>
      </w:r>
      <w:r>
        <w:rPr>
          <w:spacing w:val="-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social services</w:t>
      </w:r>
      <w:r>
        <w:rPr>
          <w:spacing w:val="-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ethnic</w:t>
      </w:r>
      <w:r>
        <w:rPr>
          <w:spacing w:val="-1"/>
        </w:rPr>
        <w:t xml:space="preserve"> </w:t>
      </w:r>
      <w:r>
        <w:t>communities are</w:t>
      </w:r>
      <w:r>
        <w:rPr>
          <w:spacing w:val="-1"/>
        </w:rPr>
        <w:t xml:space="preserve"> </w:t>
      </w:r>
      <w:r>
        <w:t>low,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relevant provision</w:t>
      </w:r>
      <w:r>
        <w:rPr>
          <w:spacing w:val="-4"/>
        </w:rPr>
        <w:t xml:space="preserve"> </w:t>
      </w:r>
      <w:r>
        <w:t>of</w:t>
      </w:r>
    </w:p>
    <w:p w14:paraId="5E10BAE2" w14:textId="77777777" w:rsidR="002A14F8" w:rsidRDefault="002A14F8">
      <w:pPr>
        <w:spacing w:line="259" w:lineRule="auto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42DE5A5A" w14:textId="77777777" w:rsidR="002A14F8" w:rsidRDefault="003458B8">
      <w:pPr>
        <w:pStyle w:val="BodyText"/>
        <w:spacing w:before="78" w:line="259" w:lineRule="auto"/>
        <w:ind w:left="540" w:right="618"/>
      </w:pPr>
      <w:r>
        <w:lastRenderedPageBreak/>
        <w:t>cultural resources</w:t>
      </w:r>
      <w:r>
        <w:rPr>
          <w:vertAlign w:val="superscript"/>
        </w:rPr>
        <w:t>163</w:t>
      </w:r>
      <w:r>
        <w:t>. Others have suggested a spiritual or religious-integrated mental health</w:t>
      </w:r>
      <w:r>
        <w:rPr>
          <w:spacing w:val="1"/>
        </w:rPr>
        <w:t xml:space="preserve"> </w:t>
      </w:r>
      <w:r>
        <w:t>intervention when working with religious minorities</w:t>
      </w:r>
      <w:r>
        <w:rPr>
          <w:vertAlign w:val="superscript"/>
        </w:rPr>
        <w:t>177</w:t>
      </w:r>
      <w:r>
        <w:t>. A preventive approach is more effective than</w:t>
      </w:r>
      <w:r>
        <w:rPr>
          <w:spacing w:val="-52"/>
        </w:rPr>
        <w:t xml:space="preserve"> </w:t>
      </w:r>
      <w:r>
        <w:t>a reactive approach when addressing violent offences, and this can be done by centralising available</w:t>
      </w:r>
      <w:r>
        <w:rPr>
          <w:spacing w:val="1"/>
        </w:rPr>
        <w:t xml:space="preserve"> </w:t>
      </w:r>
      <w:r>
        <w:t>information on youths from ethnic communities who have</w:t>
      </w:r>
      <w:r>
        <w:t xml:space="preserve"> been exposed to risk factors</w:t>
      </w:r>
      <w:r>
        <w:rPr>
          <w:vertAlign w:val="superscript"/>
        </w:rPr>
        <w:t>179</w:t>
      </w:r>
      <w:r>
        <w:t>. For youth</w:t>
      </w:r>
      <w:r>
        <w:rPr>
          <w:spacing w:val="1"/>
        </w:rPr>
        <w:t xml:space="preserve"> </w:t>
      </w:r>
      <w:r>
        <w:t>from ethnic communities who experience discrimination and cultural dissonance, having supportive</w:t>
      </w:r>
      <w:r>
        <w:rPr>
          <w:spacing w:val="1"/>
        </w:rPr>
        <w:t xml:space="preserve"> </w:t>
      </w:r>
      <w:r>
        <w:t>family/whānau networks as well as maintaining religious beliefs and practices helped these young</w:t>
      </w:r>
      <w:r>
        <w:rPr>
          <w:spacing w:val="1"/>
        </w:rPr>
        <w:t xml:space="preserve"> </w:t>
      </w:r>
      <w:r>
        <w:t>people become resi</w:t>
      </w:r>
      <w:r>
        <w:t>lient</w:t>
      </w:r>
      <w:r>
        <w:rPr>
          <w:vertAlign w:val="superscript"/>
        </w:rPr>
        <w:t>174,176,177</w:t>
      </w:r>
      <w:r>
        <w:t>. Psychological wellbeing for ethnic communities needs to be</w:t>
      </w:r>
      <w:r>
        <w:rPr>
          <w:spacing w:val="1"/>
        </w:rPr>
        <w:t xml:space="preserve"> </w:t>
      </w:r>
      <w:r>
        <w:t>understood through a cultural lens and in a holistic manner. Language cultivation presents for policy</w:t>
      </w:r>
      <w:r>
        <w:rPr>
          <w:spacing w:val="1"/>
        </w:rPr>
        <w:t xml:space="preserve"> </w:t>
      </w:r>
      <w:r>
        <w:t>makers and health and community workers, as one key area to consider when des</w:t>
      </w:r>
      <w:r>
        <w:t>igning programmes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policies that promote</w:t>
      </w:r>
      <w:r>
        <w:rPr>
          <w:spacing w:val="1"/>
        </w:rPr>
        <w:t xml:space="preserve"> </w:t>
      </w:r>
      <w:r>
        <w:t>positive</w:t>
      </w:r>
      <w:r>
        <w:rPr>
          <w:spacing w:val="-1"/>
        </w:rPr>
        <w:t xml:space="preserve"> </w:t>
      </w:r>
      <w:r>
        <w:t>mental</w:t>
      </w:r>
      <w:r>
        <w:rPr>
          <w:spacing w:val="1"/>
        </w:rPr>
        <w:t xml:space="preserve"> </w:t>
      </w:r>
      <w:r>
        <w:t>wellbeing</w:t>
      </w:r>
      <w:r>
        <w:rPr>
          <w:spacing w:val="-4"/>
        </w:rPr>
        <w:t xml:space="preserve"> </w:t>
      </w:r>
      <w:r>
        <w:t>and suicide</w:t>
      </w:r>
      <w:r>
        <w:rPr>
          <w:spacing w:val="-1"/>
        </w:rPr>
        <w:t xml:space="preserve"> </w:t>
      </w:r>
      <w:r>
        <w:t>prevention</w:t>
      </w:r>
      <w:r>
        <w:rPr>
          <w:vertAlign w:val="superscript"/>
        </w:rPr>
        <w:t>164</w:t>
      </w:r>
      <w:r>
        <w:t>.</w:t>
      </w:r>
    </w:p>
    <w:p w14:paraId="673CF7E6" w14:textId="77777777" w:rsidR="002A14F8" w:rsidRDefault="002A14F8">
      <w:pPr>
        <w:spacing w:line="259" w:lineRule="auto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28FF1E27" w14:textId="77777777" w:rsidR="002A14F8" w:rsidRDefault="003458B8">
      <w:pPr>
        <w:pStyle w:val="Heading1"/>
      </w:pPr>
      <w:bookmarkStart w:id="7" w:name="_bookmark7"/>
      <w:bookmarkEnd w:id="7"/>
      <w:r>
        <w:lastRenderedPageBreak/>
        <w:t>References</w:t>
      </w:r>
    </w:p>
    <w:p w14:paraId="5E3491B6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29"/>
        <w:ind w:right="776"/>
      </w:pPr>
      <w:r>
        <w:t xml:space="preserve">Gordon S, Davey S, Waa A, Tiatia R, Waaka T. </w:t>
      </w:r>
      <w:r>
        <w:rPr>
          <w:i/>
        </w:rPr>
        <w:t>Social Inclusion and Exclusion, Stigma and</w:t>
      </w:r>
      <w:r>
        <w:rPr>
          <w:i/>
          <w:spacing w:val="-52"/>
        </w:rPr>
        <w:t xml:space="preserve"> </w:t>
      </w:r>
      <w:r>
        <w:rPr>
          <w:i/>
        </w:rPr>
        <w:t>Discrimination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-4"/>
        </w:rPr>
        <w:t xml:space="preserve"> </w:t>
      </w:r>
      <w:r>
        <w:rPr>
          <w:i/>
        </w:rPr>
        <w:t>the Experience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Menta</w:t>
      </w:r>
      <w:r>
        <w:rPr>
          <w:i/>
        </w:rPr>
        <w:t>l</w:t>
      </w:r>
      <w:r>
        <w:rPr>
          <w:i/>
          <w:spacing w:val="-2"/>
        </w:rPr>
        <w:t xml:space="preserve"> </w:t>
      </w:r>
      <w:r>
        <w:rPr>
          <w:i/>
        </w:rPr>
        <w:t>Distress:</w:t>
      </w:r>
      <w:r>
        <w:rPr>
          <w:i/>
          <w:spacing w:val="-5"/>
        </w:rPr>
        <w:t xml:space="preserve"> </w:t>
      </w:r>
      <w:r>
        <w:rPr>
          <w:i/>
        </w:rPr>
        <w:t>Aotearoa/New</w:t>
      </w:r>
      <w:r>
        <w:rPr>
          <w:i/>
          <w:spacing w:val="-1"/>
        </w:rPr>
        <w:t xml:space="preserve"> </w:t>
      </w:r>
      <w:r>
        <w:rPr>
          <w:i/>
        </w:rPr>
        <w:t>Zealand</w:t>
      </w:r>
      <w:r>
        <w:t>.;</w:t>
      </w:r>
      <w:r>
        <w:rPr>
          <w:spacing w:val="1"/>
        </w:rPr>
        <w:t xml:space="preserve"> </w:t>
      </w:r>
      <w:r>
        <w:t>2017.</w:t>
      </w:r>
    </w:p>
    <w:p w14:paraId="21C6E144" w14:textId="77777777" w:rsidR="002A14F8" w:rsidRDefault="002A14F8">
      <w:pPr>
        <w:pStyle w:val="BodyText"/>
        <w:spacing w:before="10"/>
        <w:rPr>
          <w:sz w:val="20"/>
        </w:rPr>
      </w:pPr>
    </w:p>
    <w:p w14:paraId="65BCA1A0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72"/>
      </w:pPr>
      <w:r>
        <w:t xml:space="preserve">Human Rights Commission. </w:t>
      </w:r>
      <w:r>
        <w:rPr>
          <w:i/>
        </w:rPr>
        <w:t>A Fair Go for All? Rite Tahi Tätou Katoa? Addressing Structural</w:t>
      </w:r>
      <w:r>
        <w:rPr>
          <w:i/>
          <w:spacing w:val="-52"/>
        </w:rPr>
        <w:t xml:space="preserve"> </w:t>
      </w:r>
      <w:r>
        <w:rPr>
          <w:i/>
        </w:rPr>
        <w:t>Discrimination in Public Services</w:t>
      </w:r>
      <w:r>
        <w:t>.; 2012. https://</w:t>
      </w:r>
      <w:hyperlink r:id="rId17">
        <w:r>
          <w:t>www.hrc.co.nz/files/2914/2409/4608/HRC-</w:t>
        </w:r>
      </w:hyperlink>
      <w:r>
        <w:rPr>
          <w:spacing w:val="1"/>
        </w:rPr>
        <w:t xml:space="preserve"> </w:t>
      </w:r>
      <w:r>
        <w:t>Structural-Report_final_webV1.pdf</w:t>
      </w:r>
    </w:p>
    <w:p w14:paraId="1091729C" w14:textId="77777777" w:rsidR="002A14F8" w:rsidRDefault="002A14F8">
      <w:pPr>
        <w:pStyle w:val="BodyText"/>
        <w:spacing w:before="10"/>
        <w:rPr>
          <w:sz w:val="20"/>
        </w:rPr>
      </w:pPr>
    </w:p>
    <w:p w14:paraId="36E68B56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58"/>
      </w:pPr>
      <w:r>
        <w:t>The</w:t>
      </w:r>
      <w:r>
        <w:rPr>
          <w:spacing w:val="-5"/>
        </w:rPr>
        <w:t xml:space="preserve"> </w:t>
      </w:r>
      <w:r>
        <w:t>Multicultural</w:t>
      </w:r>
      <w:r>
        <w:rPr>
          <w:spacing w:val="-1"/>
        </w:rPr>
        <w:t xml:space="preserve"> </w:t>
      </w:r>
      <w:r>
        <w:t>Dilemma:</w:t>
      </w:r>
      <w:r>
        <w:rPr>
          <w:spacing w:val="-1"/>
        </w:rPr>
        <w:t xml:space="preserve"> </w:t>
      </w:r>
      <w:r>
        <w:t>Amid</w:t>
      </w:r>
      <w:r>
        <w:rPr>
          <w:spacing w:val="-2"/>
        </w:rPr>
        <w:t xml:space="preserve"> </w:t>
      </w:r>
      <w:r>
        <w:t>Rising</w:t>
      </w:r>
      <w:r>
        <w:rPr>
          <w:spacing w:val="-5"/>
        </w:rPr>
        <w:t xml:space="preserve"> </w:t>
      </w:r>
      <w:r>
        <w:t>Diversity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Unsettled</w:t>
      </w:r>
      <w:r>
        <w:rPr>
          <w:spacing w:val="-2"/>
        </w:rPr>
        <w:t xml:space="preserve"> </w:t>
      </w:r>
      <w:r>
        <w:t>Equity</w:t>
      </w:r>
      <w:r>
        <w:rPr>
          <w:spacing w:val="-5"/>
        </w:rPr>
        <w:t xml:space="preserve"> </w:t>
      </w:r>
      <w:r>
        <w:t>Issues,</w:t>
      </w:r>
      <w:r>
        <w:rPr>
          <w:spacing w:val="-5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Zealand</w:t>
      </w:r>
      <w:r>
        <w:rPr>
          <w:spacing w:val="-52"/>
        </w:rPr>
        <w:t xml:space="preserve"> </w:t>
      </w:r>
      <w:r>
        <w:t>Seeks to Address Its Past a</w:t>
      </w:r>
      <w:r>
        <w:t>nd Present. MPI Migration Policy Institute. Published September 5,</w:t>
      </w:r>
      <w:r>
        <w:rPr>
          <w:spacing w:val="-52"/>
        </w:rPr>
        <w:t xml:space="preserve"> </w:t>
      </w:r>
      <w:r>
        <w:t>2019. Accessed March 15, 2020.</w:t>
      </w:r>
      <w:r>
        <w:rPr>
          <w:spacing w:val="1"/>
        </w:rPr>
        <w:t xml:space="preserve"> </w:t>
      </w:r>
      <w:r>
        <w:t>https://</w:t>
      </w:r>
      <w:hyperlink r:id="rId18" w:anchor=".Xm126agzaUk">
        <w:r>
          <w:t>www.migrationpolicy.org/print/16581#.Xm126agzaUk</w:t>
        </w:r>
      </w:hyperlink>
    </w:p>
    <w:p w14:paraId="457C32B7" w14:textId="77777777" w:rsidR="002A14F8" w:rsidRDefault="002A14F8">
      <w:pPr>
        <w:pStyle w:val="BodyText"/>
        <w:spacing w:before="11"/>
        <w:rPr>
          <w:sz w:val="20"/>
        </w:rPr>
      </w:pPr>
    </w:p>
    <w:p w14:paraId="48B27377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079"/>
      </w:pPr>
      <w:r>
        <w:t>Simon-Kumar R. Inclusionary policy and marginalised groups in Aoteaora/New Zealand</w:t>
      </w:r>
      <w:r>
        <w:rPr>
          <w:spacing w:val="-52"/>
        </w:rPr>
        <w:t xml:space="preserve"> </w:t>
      </w:r>
      <w:r>
        <w:t xml:space="preserve">process, impacts and politics. </w:t>
      </w:r>
      <w:r>
        <w:rPr>
          <w:i/>
        </w:rPr>
        <w:t>Kōtuitui: New Zealand Journal of Social Sciences Online</w:t>
      </w:r>
      <w:r>
        <w:t>.</w:t>
      </w:r>
      <w:r>
        <w:rPr>
          <w:spacing w:val="1"/>
        </w:rPr>
        <w:t xml:space="preserve"> </w:t>
      </w:r>
      <w:r>
        <w:t>2018;13(2):246-260.</w:t>
      </w:r>
      <w:r>
        <w:rPr>
          <w:spacing w:val="-1"/>
        </w:rPr>
        <w:t xml:space="preserve"> </w:t>
      </w:r>
      <w:r>
        <w:t>doi:10.1080/1177083X.2018.1488750</w:t>
      </w:r>
    </w:p>
    <w:p w14:paraId="01048609" w14:textId="77777777" w:rsidR="002A14F8" w:rsidRDefault="002A14F8">
      <w:pPr>
        <w:pStyle w:val="BodyText"/>
        <w:spacing w:before="10"/>
        <w:rPr>
          <w:sz w:val="20"/>
        </w:rPr>
      </w:pPr>
    </w:p>
    <w:p w14:paraId="2596A6A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03"/>
      </w:pPr>
      <w:r>
        <w:t>Ministry of Social Development</w:t>
      </w:r>
      <w:r>
        <w:t xml:space="preserve">, The Office of Ethnic Affairs. </w:t>
      </w:r>
      <w:r>
        <w:rPr>
          <w:i/>
        </w:rPr>
        <w:t>Connecting Diverse</w:t>
      </w:r>
      <w:r>
        <w:rPr>
          <w:i/>
          <w:spacing w:val="1"/>
        </w:rPr>
        <w:t xml:space="preserve"> </w:t>
      </w:r>
      <w:r>
        <w:rPr>
          <w:i/>
        </w:rPr>
        <w:t>CommunitiesReport on 2007/08 Public Engagement: A Report on 15 Meetings Held around</w:t>
      </w:r>
      <w:r>
        <w:rPr>
          <w:i/>
          <w:spacing w:val="-52"/>
        </w:rPr>
        <w:t xml:space="preserve"> </w:t>
      </w:r>
      <w:r>
        <w:rPr>
          <w:i/>
        </w:rPr>
        <w:t>New Zealand to Discuss Diversity and Social Cohesion and Responses to a Written</w:t>
      </w:r>
      <w:r>
        <w:rPr>
          <w:i/>
          <w:spacing w:val="1"/>
        </w:rPr>
        <w:t xml:space="preserve"> </w:t>
      </w:r>
      <w:r>
        <w:rPr>
          <w:i/>
        </w:rPr>
        <w:t>Questionnaire</w:t>
      </w:r>
      <w:r>
        <w:t>.; 2008. https://</w:t>
      </w:r>
      <w:hyperlink r:id="rId19">
        <w:r>
          <w:t>www.msd.govt.nz/documents/about-msd-and-our-</w:t>
        </w:r>
      </w:hyperlink>
      <w:r>
        <w:rPr>
          <w:spacing w:val="1"/>
        </w:rPr>
        <w:t xml:space="preserve"> </w:t>
      </w:r>
      <w:r>
        <w:t>work/publications-resources/research/connecting-diverse-communities/cdc-public-</w:t>
      </w:r>
      <w:r>
        <w:rPr>
          <w:spacing w:val="1"/>
        </w:rPr>
        <w:t xml:space="preserve"> </w:t>
      </w:r>
      <w:r>
        <w:t>engagement-2007.pdf</w:t>
      </w:r>
    </w:p>
    <w:p w14:paraId="1F84A5B9" w14:textId="77777777" w:rsidR="002A14F8" w:rsidRDefault="002A14F8">
      <w:pPr>
        <w:pStyle w:val="BodyText"/>
        <w:spacing w:before="9"/>
        <w:rPr>
          <w:sz w:val="20"/>
        </w:rPr>
      </w:pPr>
    </w:p>
    <w:p w14:paraId="3ED660A5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23"/>
      </w:pPr>
      <w:r>
        <w:t xml:space="preserve">Thomsen S, Tavita J, Levi-Teu Z. </w:t>
      </w:r>
      <w:r>
        <w:rPr>
          <w:i/>
        </w:rPr>
        <w:t>A Pacific Perspec</w:t>
      </w:r>
      <w:r>
        <w:rPr>
          <w:i/>
        </w:rPr>
        <w:t>tive on the Living Standards Framework</w:t>
      </w:r>
      <w:r>
        <w:rPr>
          <w:i/>
          <w:spacing w:val="-52"/>
        </w:rPr>
        <w:t xml:space="preserve"> </w:t>
      </w:r>
      <w:r>
        <w:rPr>
          <w:i/>
        </w:rPr>
        <w:t>and</w:t>
      </w:r>
      <w:r>
        <w:rPr>
          <w:i/>
          <w:spacing w:val="-2"/>
        </w:rPr>
        <w:t xml:space="preserve"> </w:t>
      </w:r>
      <w:r>
        <w:rPr>
          <w:i/>
        </w:rPr>
        <w:t>Wellbeing</w:t>
      </w:r>
      <w:r>
        <w:t>.; 2018.</w:t>
      </w:r>
      <w:r>
        <w:rPr>
          <w:spacing w:val="-4"/>
        </w:rPr>
        <w:t xml:space="preserve"> </w:t>
      </w:r>
      <w:r>
        <w:t>https://treasury.govt.nz/sites/default/files/2018-08/dp18-09.pdf</w:t>
      </w:r>
    </w:p>
    <w:p w14:paraId="41465F23" w14:textId="77777777" w:rsidR="002A14F8" w:rsidRDefault="002A14F8">
      <w:pPr>
        <w:pStyle w:val="BodyText"/>
        <w:spacing w:before="10"/>
        <w:rPr>
          <w:sz w:val="20"/>
        </w:rPr>
      </w:pPr>
    </w:p>
    <w:p w14:paraId="43BCA4E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25"/>
      </w:pPr>
      <w:r>
        <w:t>Clunie M. Rainbow communities, mental health and addictions: A submission to the</w:t>
      </w:r>
      <w:r>
        <w:rPr>
          <w:spacing w:val="1"/>
        </w:rPr>
        <w:t xml:space="preserve"> </w:t>
      </w:r>
      <w:r>
        <w:t>government inquiry into mental health and addiction – Oranga Tāngata, Oranga Whānau.</w:t>
      </w:r>
      <w:r>
        <w:rPr>
          <w:spacing w:val="1"/>
        </w:rPr>
        <w:t xml:space="preserve"> </w:t>
      </w:r>
      <w:r>
        <w:t>Published 2018. https://</w:t>
      </w:r>
      <w:hyperlink r:id="rId20">
        <w:r>
          <w:t>www.mentalhealth.org.nz/assets/Our-Work/policy-advocacy/Rainbow-</w:t>
        </w:r>
      </w:hyperlink>
      <w:r>
        <w:rPr>
          <w:spacing w:val="-52"/>
        </w:rPr>
        <w:t xml:space="preserve"> </w:t>
      </w:r>
      <w:r>
        <w:rPr>
          <w:spacing w:val="-1"/>
        </w:rPr>
        <w:t>communities-and-mental-health-submission-to-the-Inquiry-into-Mental-Health-and-Addiction-</w:t>
      </w:r>
      <w:r>
        <w:t xml:space="preserve"> 08062018.pdf</w:t>
      </w:r>
    </w:p>
    <w:p w14:paraId="370FB818" w14:textId="77777777" w:rsidR="002A14F8" w:rsidRDefault="002A14F8">
      <w:pPr>
        <w:pStyle w:val="BodyText"/>
        <w:spacing w:before="10"/>
        <w:rPr>
          <w:sz w:val="20"/>
        </w:rPr>
      </w:pPr>
    </w:p>
    <w:p w14:paraId="711639B2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643"/>
      </w:pPr>
      <w:r>
        <w:t>Health Promotion Agency. Wellbeing and mental health among rai</w:t>
      </w:r>
      <w:r>
        <w:t>nbow New Zealanders.</w:t>
      </w:r>
      <w:r>
        <w:rPr>
          <w:spacing w:val="1"/>
        </w:rPr>
        <w:t xml:space="preserve"> </w:t>
      </w:r>
      <w:r>
        <w:t>Wellbeing and mental health among rainbow New Zealanders: Results from the New Zealand</w:t>
      </w:r>
      <w:r>
        <w:rPr>
          <w:spacing w:val="-52"/>
        </w:rPr>
        <w:t xml:space="preserve"> </w:t>
      </w:r>
      <w:r>
        <w:t>Mental Health Monitor. Published 2019. https://</w:t>
      </w:r>
      <w:hyperlink r:id="rId21">
        <w:r>
          <w:t>www.hpa.org.nz/sites/default/fil</w:t>
        </w:r>
        <w:r>
          <w:t>es/Mental-</w:t>
        </w:r>
      </w:hyperlink>
      <w:r>
        <w:rPr>
          <w:spacing w:val="1"/>
        </w:rPr>
        <w:t xml:space="preserve"> </w:t>
      </w:r>
      <w:r>
        <w:t>wellbeing-among-rainbow-adults-factsheet.pdf</w:t>
      </w:r>
    </w:p>
    <w:p w14:paraId="7CB05EB7" w14:textId="77777777" w:rsidR="002A14F8" w:rsidRDefault="002A14F8">
      <w:pPr>
        <w:pStyle w:val="BodyText"/>
        <w:spacing w:before="10"/>
        <w:rPr>
          <w:sz w:val="20"/>
        </w:rPr>
      </w:pPr>
    </w:p>
    <w:p w14:paraId="152E98D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616"/>
      </w:pPr>
      <w:r>
        <w:t>Statistics New Zealand. New sexual identity wellbeing data reflects diversity of New</w:t>
      </w:r>
      <w:r>
        <w:rPr>
          <w:spacing w:val="1"/>
        </w:rPr>
        <w:t xml:space="preserve"> </w:t>
      </w:r>
      <w:r>
        <w:t>Zealanders. Published 2019. Accessed December 24, 2019.</w:t>
      </w:r>
      <w:r>
        <w:rPr>
          <w:spacing w:val="1"/>
        </w:rPr>
        <w:t xml:space="preserve"> </w:t>
      </w:r>
      <w:r>
        <w:t>https://</w:t>
      </w:r>
      <w:hyperlink r:id="rId22">
        <w:r>
          <w:t>www.stats.govt.nz/news/new-sexual-identity-wellbeing-data-reflects-diversity-of-new-</w:t>
        </w:r>
      </w:hyperlink>
      <w:r>
        <w:rPr>
          <w:spacing w:val="-52"/>
        </w:rPr>
        <w:t xml:space="preserve"> </w:t>
      </w:r>
      <w:r>
        <w:t>zealanders</w:t>
      </w:r>
    </w:p>
    <w:p w14:paraId="37A9CAB8" w14:textId="77777777" w:rsidR="002A14F8" w:rsidRDefault="002A14F8">
      <w:pPr>
        <w:pStyle w:val="BodyText"/>
        <w:spacing w:before="10"/>
        <w:rPr>
          <w:sz w:val="20"/>
        </w:rPr>
      </w:pPr>
    </w:p>
    <w:p w14:paraId="07D2B62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23"/>
      </w:pPr>
      <w:r w:rsidRPr="00967B86">
        <w:rPr>
          <w:lang w:val="fr-CA"/>
        </w:rPr>
        <w:t xml:space="preserve">Veale J, Byrne J, Tan K, et al. </w:t>
      </w:r>
      <w:r>
        <w:rPr>
          <w:i/>
        </w:rPr>
        <w:t>Counting Ourselves: The Health and Wellbeing of Trans and</w:t>
      </w:r>
      <w:r>
        <w:rPr>
          <w:i/>
          <w:spacing w:val="-52"/>
        </w:rPr>
        <w:t xml:space="preserve"> </w:t>
      </w:r>
      <w:r>
        <w:rPr>
          <w:i/>
        </w:rPr>
        <w:t>Non-Bina</w:t>
      </w:r>
      <w:r>
        <w:rPr>
          <w:i/>
        </w:rPr>
        <w:t>ry People in Aotearoa/New Zealand</w:t>
      </w:r>
      <w:r>
        <w:t>.; 2019. https://countingourselves.nz/wp-</w:t>
      </w:r>
      <w:r>
        <w:rPr>
          <w:spacing w:val="1"/>
        </w:rPr>
        <w:t xml:space="preserve"> </w:t>
      </w:r>
      <w:r>
        <w:t>content/uploads/2019/09/Counting-Ourselves_FINAL.pdf</w:t>
      </w:r>
    </w:p>
    <w:p w14:paraId="39A3EB89" w14:textId="77777777" w:rsidR="002A14F8" w:rsidRDefault="002A14F8">
      <w:pPr>
        <w:pStyle w:val="BodyText"/>
        <w:spacing w:before="10"/>
        <w:rPr>
          <w:sz w:val="20"/>
        </w:rPr>
      </w:pPr>
    </w:p>
    <w:p w14:paraId="608FC507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855"/>
      </w:pPr>
      <w:r>
        <w:t>Schimanski ID, Treharne GJ. “Extra marginalisation within the community”: queer</w:t>
      </w:r>
      <w:r>
        <w:rPr>
          <w:spacing w:val="1"/>
        </w:rPr>
        <w:t xml:space="preserve"> </w:t>
      </w:r>
      <w:r>
        <w:t xml:space="preserve">individuals’ perspectives on suicidality, discrimination and gay pride events. </w:t>
      </w:r>
      <w:r>
        <w:rPr>
          <w:i/>
        </w:rPr>
        <w:t>Psychology &amp;</w:t>
      </w:r>
      <w:r>
        <w:rPr>
          <w:i/>
          <w:spacing w:val="-52"/>
        </w:rPr>
        <w:t xml:space="preserve"> </w:t>
      </w:r>
      <w:r>
        <w:rPr>
          <w:i/>
        </w:rPr>
        <w:t>Sexuality</w:t>
      </w:r>
      <w:r>
        <w:t>.</w:t>
      </w:r>
      <w:r>
        <w:rPr>
          <w:spacing w:val="-1"/>
        </w:rPr>
        <w:t xml:space="preserve"> </w:t>
      </w:r>
      <w:r>
        <w:t>2019;10(1):31-44. doi:10.1080/19419899.2018.1524394</w:t>
      </w:r>
    </w:p>
    <w:p w14:paraId="06868AB8" w14:textId="77777777" w:rsidR="002A14F8" w:rsidRDefault="002A14F8">
      <w:pPr>
        <w:pStyle w:val="BodyText"/>
        <w:spacing w:before="9"/>
        <w:rPr>
          <w:sz w:val="20"/>
        </w:rPr>
      </w:pPr>
    </w:p>
    <w:p w14:paraId="72845AE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140"/>
      </w:pPr>
      <w:r>
        <w:t xml:space="preserve">Fraser G. </w:t>
      </w:r>
      <w:r>
        <w:rPr>
          <w:i/>
        </w:rPr>
        <w:t>Supporting</w:t>
      </w:r>
      <w:r>
        <w:rPr>
          <w:i/>
        </w:rPr>
        <w:t xml:space="preserve"> Aotearoa’s Rainbow People: A Practical Guide for Mental Health</w:t>
      </w:r>
      <w:r>
        <w:rPr>
          <w:i/>
          <w:spacing w:val="-52"/>
        </w:rPr>
        <w:t xml:space="preserve"> </w:t>
      </w:r>
      <w:r>
        <w:rPr>
          <w:i/>
        </w:rPr>
        <w:t>Professionals</w:t>
      </w:r>
      <w:r>
        <w:t>.;</w:t>
      </w:r>
      <w:r>
        <w:rPr>
          <w:spacing w:val="-2"/>
        </w:rPr>
        <w:t xml:space="preserve"> </w:t>
      </w:r>
      <w:r>
        <w:t>2019.</w:t>
      </w:r>
    </w:p>
    <w:p w14:paraId="5AA05A9C" w14:textId="77777777" w:rsidR="002A14F8" w:rsidRDefault="002A14F8">
      <w:pPr>
        <w:sectPr w:rsidR="002A14F8">
          <w:pgSz w:w="11910" w:h="16840"/>
          <w:pgMar w:top="1360" w:right="940" w:bottom="1200" w:left="900" w:header="0" w:footer="1010" w:gutter="0"/>
          <w:cols w:space="720"/>
        </w:sectPr>
      </w:pPr>
    </w:p>
    <w:p w14:paraId="54C0F4E7" w14:textId="77777777" w:rsidR="002A14F8" w:rsidRDefault="003458B8">
      <w:pPr>
        <w:pStyle w:val="BodyText"/>
        <w:spacing w:before="75"/>
        <w:ind w:left="1164" w:right="487"/>
      </w:pPr>
      <w:r>
        <w:rPr>
          <w:spacing w:val="-1"/>
        </w:rPr>
        <w:lastRenderedPageBreak/>
        <w:t>https://static1.squarespace.com/static/5cd8c99ac46f6d1de63e66e5/t/5d40c6a0935c770001f820</w:t>
      </w:r>
      <w:r>
        <w:t xml:space="preserve"> 5c/1564526320993/WEBSITE+English+Version.pdf</w:t>
      </w:r>
    </w:p>
    <w:p w14:paraId="098020C8" w14:textId="77777777" w:rsidR="002A14F8" w:rsidRDefault="002A14F8">
      <w:pPr>
        <w:pStyle w:val="BodyText"/>
        <w:spacing w:before="11"/>
        <w:rPr>
          <w:sz w:val="20"/>
        </w:rPr>
      </w:pPr>
    </w:p>
    <w:p w14:paraId="13764A7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904"/>
      </w:pPr>
      <w:r>
        <w:t xml:space="preserve">Ministry of Youth Development. </w:t>
      </w:r>
      <w:r>
        <w:rPr>
          <w:i/>
        </w:rPr>
        <w:t>Supporting LGBTI Young People in New Zealand</w:t>
      </w:r>
      <w:r>
        <w:t>.; 2015.</w:t>
      </w:r>
      <w:r>
        <w:rPr>
          <w:spacing w:val="-52"/>
        </w:rPr>
        <w:t xml:space="preserve"> </w:t>
      </w:r>
      <w:r>
        <w:t>https://</w:t>
      </w:r>
      <w:hyperlink r:id="rId23">
        <w:r>
          <w:t>www.msd.govt.nz/documents/about-msd-and-our-work/newsroom/lgbti-r</w:t>
        </w:r>
        <w:r>
          <w:t>elease-</w:t>
        </w:r>
      </w:hyperlink>
      <w:r>
        <w:rPr>
          <w:spacing w:val="1"/>
        </w:rPr>
        <w:t xml:space="preserve"> </w:t>
      </w:r>
      <w:r>
        <w:t>ministry-of-youth-development.pdf</w:t>
      </w:r>
    </w:p>
    <w:p w14:paraId="3C1448DE" w14:textId="77777777" w:rsidR="002A14F8" w:rsidRDefault="002A14F8">
      <w:pPr>
        <w:pStyle w:val="BodyText"/>
        <w:spacing w:before="9"/>
        <w:rPr>
          <w:sz w:val="20"/>
        </w:rPr>
      </w:pPr>
    </w:p>
    <w:p w14:paraId="713C53F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41"/>
      </w:pPr>
      <w:r>
        <w:t>Taylor OG. “Thrown to the Wolves”: Lesbian, Gay, Bisexual, Transgender, and Queer youth’s</w:t>
      </w:r>
      <w:r>
        <w:rPr>
          <w:spacing w:val="-52"/>
        </w:rPr>
        <w:t xml:space="preserve"> </w:t>
      </w:r>
      <w:r>
        <w:t>perceptions of their mental health experiences and support. Published online 2018.</w:t>
      </w:r>
      <w:r>
        <w:rPr>
          <w:spacing w:val="1"/>
        </w:rPr>
        <w:t xml:space="preserve"> </w:t>
      </w:r>
      <w:r>
        <w:rPr>
          <w:spacing w:val="-1"/>
        </w:rPr>
        <w:t>https://natlib.govt.nz/records/41762872?</w:t>
      </w:r>
      <w:r>
        <w:rPr>
          <w:spacing w:val="-1"/>
        </w:rPr>
        <w:t>search%25255Bi%25255D%25255Bsubject%25255D</w:t>
      </w:r>
    </w:p>
    <w:p w14:paraId="326E63CE" w14:textId="77777777" w:rsidR="002A14F8" w:rsidRDefault="003458B8">
      <w:pPr>
        <w:pStyle w:val="BodyText"/>
        <w:ind w:left="1164" w:right="487"/>
      </w:pPr>
      <w:r>
        <w:t>%25255B%25255D=Young+People&amp;search%25255Bi%25255D%25255Bsubject%25255D%</w:t>
      </w:r>
      <w:r>
        <w:rPr>
          <w:spacing w:val="-52"/>
        </w:rPr>
        <w:t xml:space="preserve"> </w:t>
      </w:r>
      <w:r>
        <w:rPr>
          <w:spacing w:val="-1"/>
        </w:rPr>
        <w:t>25255B%25255D=Bisexuals&amp;search%25255Bpath%25255D=items&amp;search%25255Btext%25</w:t>
      </w:r>
      <w:r>
        <w:t xml:space="preserve"> 255D=%252528homosex%25252A+OR+lesbian%25252A+OR+queer%25252A+OR+g</w:t>
      </w:r>
      <w:r>
        <w:t>ay%2</w:t>
      </w:r>
      <w:r>
        <w:rPr>
          <w:spacing w:val="1"/>
        </w:rPr>
        <w:t xml:space="preserve"> </w:t>
      </w:r>
      <w:r>
        <w:t>52529+AND+zealand</w:t>
      </w:r>
    </w:p>
    <w:p w14:paraId="4FF7A27D" w14:textId="77777777" w:rsidR="002A14F8" w:rsidRDefault="002A14F8">
      <w:pPr>
        <w:pStyle w:val="BodyText"/>
        <w:spacing w:before="11"/>
        <w:rPr>
          <w:sz w:val="20"/>
        </w:rPr>
      </w:pPr>
    </w:p>
    <w:p w14:paraId="6A216847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20"/>
      </w:pPr>
      <w:r>
        <w:t>Chiang S-Y, Fenaughty J, Lucassen MFG, Fleming T. Navigating double marginalisation:</w:t>
      </w:r>
      <w:r>
        <w:rPr>
          <w:spacing w:val="1"/>
        </w:rPr>
        <w:t xml:space="preserve"> </w:t>
      </w:r>
      <w:r>
        <w:t>migrant Chinese sexual and gender minority young people’s views on mental health challenges</w:t>
      </w:r>
      <w:r>
        <w:rPr>
          <w:spacing w:val="-52"/>
        </w:rPr>
        <w:t xml:space="preserve"> </w:t>
      </w:r>
      <w:r>
        <w:t xml:space="preserve">and supports. </w:t>
      </w:r>
      <w:r>
        <w:rPr>
          <w:i/>
        </w:rPr>
        <w:t>Culture, Health &amp; Sexuality</w:t>
      </w:r>
      <w:r>
        <w:t>. 2019;21(7):8</w:t>
      </w:r>
      <w:r>
        <w:t>07-821.</w:t>
      </w:r>
      <w:r>
        <w:rPr>
          <w:spacing w:val="1"/>
        </w:rPr>
        <w:t xml:space="preserve"> </w:t>
      </w:r>
      <w:r>
        <w:t>doi:10.1080/13691058.2018.1519118</w:t>
      </w:r>
    </w:p>
    <w:p w14:paraId="1EAA67F4" w14:textId="77777777" w:rsidR="002A14F8" w:rsidRDefault="002A14F8">
      <w:pPr>
        <w:pStyle w:val="BodyText"/>
        <w:rPr>
          <w:sz w:val="21"/>
        </w:rPr>
      </w:pPr>
    </w:p>
    <w:p w14:paraId="0A62AE4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91"/>
      </w:pPr>
      <w:r>
        <w:t>Fedchuk D. Majorities within minorities: The experiences of non-suicidal self-injury in the</w:t>
      </w:r>
      <w:r>
        <w:rPr>
          <w:spacing w:val="1"/>
        </w:rPr>
        <w:t xml:space="preserve"> </w:t>
      </w:r>
      <w:r>
        <w:t>LGBTQ communities. Published online 2017.</w:t>
      </w:r>
      <w:r>
        <w:rPr>
          <w:spacing w:val="1"/>
        </w:rPr>
        <w:t xml:space="preserve"> </w:t>
      </w:r>
      <w:r>
        <w:rPr>
          <w:spacing w:val="-1"/>
        </w:rPr>
        <w:t>https://mro.massey.ac.nz/bitstream/handle/10179/13820/02_whole.pdf?sequence=2&amp;i</w:t>
      </w:r>
      <w:r>
        <w:rPr>
          <w:spacing w:val="-1"/>
        </w:rPr>
        <w:t>sAllowe</w:t>
      </w:r>
      <w:r>
        <w:t xml:space="preserve"> d=y</w:t>
      </w:r>
    </w:p>
    <w:p w14:paraId="06C544FF" w14:textId="77777777" w:rsidR="002A14F8" w:rsidRDefault="002A14F8">
      <w:pPr>
        <w:pStyle w:val="BodyText"/>
        <w:spacing w:before="8"/>
        <w:rPr>
          <w:sz w:val="20"/>
        </w:rPr>
      </w:pPr>
    </w:p>
    <w:p w14:paraId="58F4A4A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5"/>
        </w:tabs>
        <w:ind w:right="901"/>
        <w:jc w:val="both"/>
      </w:pPr>
      <w:r>
        <w:t>Smith LA. Queer students and same-sex partners at the school formal. In: Smith LA, Gunn</w:t>
      </w:r>
      <w:r>
        <w:rPr>
          <w:spacing w:val="-52"/>
        </w:rPr>
        <w:t xml:space="preserve"> </w:t>
      </w:r>
      <w:r>
        <w:t xml:space="preserve">AC, eds. </w:t>
      </w:r>
      <w:r>
        <w:rPr>
          <w:i/>
        </w:rPr>
        <w:t>Sexual Cultures in Aotearoa/New Zealand Education</w:t>
      </w:r>
      <w:r>
        <w:t>. University of Otago Press;</w:t>
      </w:r>
      <w:r>
        <w:rPr>
          <w:spacing w:val="-52"/>
        </w:rPr>
        <w:t xml:space="preserve"> </w:t>
      </w:r>
      <w:r>
        <w:t>2015:82-98.</w:t>
      </w:r>
    </w:p>
    <w:p w14:paraId="3C5CA4F5" w14:textId="77777777" w:rsidR="002A14F8" w:rsidRDefault="002A14F8">
      <w:pPr>
        <w:pStyle w:val="BodyText"/>
        <w:spacing w:before="10"/>
        <w:rPr>
          <w:sz w:val="20"/>
        </w:rPr>
      </w:pPr>
    </w:p>
    <w:p w14:paraId="4931172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13"/>
      </w:pPr>
      <w:r>
        <w:t>Brown</w:t>
      </w:r>
      <w:r>
        <w:rPr>
          <w:spacing w:val="-5"/>
        </w:rPr>
        <w:t xml:space="preserve"> </w:t>
      </w:r>
      <w:r>
        <w:t>J,</w:t>
      </w:r>
      <w:r>
        <w:rPr>
          <w:spacing w:val="-1"/>
        </w:rPr>
        <w:t xml:space="preserve"> </w:t>
      </w:r>
      <w:r>
        <w:t>Schmidt</w:t>
      </w:r>
      <w:r>
        <w:rPr>
          <w:spacing w:val="-3"/>
        </w:rPr>
        <w:t xml:space="preserve"> </w:t>
      </w:r>
      <w:r>
        <w:t>J,</w:t>
      </w:r>
      <w:r>
        <w:rPr>
          <w:spacing w:val="-4"/>
        </w:rPr>
        <w:t xml:space="preserve"> </w:t>
      </w:r>
      <w:r>
        <w:t>Veale</w:t>
      </w:r>
      <w:r>
        <w:rPr>
          <w:spacing w:val="-3"/>
        </w:rPr>
        <w:t xml:space="preserve"> </w:t>
      </w:r>
      <w:r>
        <w:t>J.</w:t>
      </w:r>
      <w:r>
        <w:rPr>
          <w:spacing w:val="-4"/>
        </w:rPr>
        <w:t xml:space="preserve"> </w:t>
      </w:r>
      <w:r>
        <w:t>“Coming</w:t>
      </w:r>
      <w:r>
        <w:rPr>
          <w:spacing w:val="-4"/>
        </w:rPr>
        <w:t xml:space="preserve"> </w:t>
      </w:r>
      <w:r>
        <w:t>out is</w:t>
      </w:r>
      <w:r>
        <w:rPr>
          <w:spacing w:val="-1"/>
        </w:rPr>
        <w:t xml:space="preserve"> </w:t>
      </w:r>
      <w:r>
        <w:t>weighing</w:t>
      </w:r>
      <w:r>
        <w:rPr>
          <w:spacing w:val="-4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things,</w:t>
      </w:r>
      <w:r>
        <w:rPr>
          <w:spacing w:val="-1"/>
        </w:rPr>
        <w:t xml:space="preserve"> </w:t>
      </w:r>
      <w:r>
        <w:t>[my]</w:t>
      </w:r>
      <w:r>
        <w:rPr>
          <w:spacing w:val="-1"/>
        </w:rPr>
        <w:t xml:space="preserve"> </w:t>
      </w:r>
      <w:r>
        <w:t>comfortability</w:t>
      </w:r>
      <w:r>
        <w:rPr>
          <w:spacing w:val="-4"/>
        </w:rPr>
        <w:t xml:space="preserve"> </w:t>
      </w:r>
      <w:r>
        <w:t>vs</w:t>
      </w:r>
      <w:r>
        <w:rPr>
          <w:spacing w:val="-52"/>
        </w:rPr>
        <w:t xml:space="preserve"> </w:t>
      </w:r>
      <w:r>
        <w:t>the world": Gender, sex, and sexuality diverse staff and students’ sense of self on campus.</w:t>
      </w:r>
      <w:r>
        <w:rPr>
          <w:spacing w:val="1"/>
        </w:rPr>
        <w:t xml:space="preserve"> </w:t>
      </w:r>
      <w:r>
        <w:rPr>
          <w:i/>
        </w:rPr>
        <w:t>Manuscript</w:t>
      </w:r>
      <w:r>
        <w:rPr>
          <w:i/>
          <w:spacing w:val="-3"/>
        </w:rPr>
        <w:t xml:space="preserve"> </w:t>
      </w:r>
      <w:r>
        <w:rPr>
          <w:i/>
        </w:rPr>
        <w:t>submitted</w:t>
      </w:r>
      <w:r>
        <w:rPr>
          <w:i/>
          <w:spacing w:val="-2"/>
        </w:rPr>
        <w:t xml:space="preserve"> </w:t>
      </w:r>
      <w:r>
        <w:rPr>
          <w:i/>
        </w:rPr>
        <w:t>for review</w:t>
      </w:r>
      <w:r>
        <w:t>. Published online 2019.</w:t>
      </w:r>
    </w:p>
    <w:p w14:paraId="7B513BCE" w14:textId="77777777" w:rsidR="002A14F8" w:rsidRDefault="002A14F8">
      <w:pPr>
        <w:pStyle w:val="BodyText"/>
        <w:rPr>
          <w:sz w:val="21"/>
        </w:rPr>
      </w:pPr>
    </w:p>
    <w:p w14:paraId="7670407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797"/>
      </w:pPr>
      <w:r w:rsidRPr="00967B86">
        <w:rPr>
          <w:lang w:val="fr-CA"/>
        </w:rPr>
        <w:t xml:space="preserve">Treharne GJ, Beres M, Nicolson M, et al. </w:t>
      </w:r>
      <w:r>
        <w:rPr>
          <w:i/>
        </w:rPr>
        <w:t>Campus Climate fo</w:t>
      </w:r>
      <w:r>
        <w:rPr>
          <w:i/>
        </w:rPr>
        <w:t>r Students with Diverse Sexual</w:t>
      </w:r>
      <w:r>
        <w:rPr>
          <w:i/>
          <w:spacing w:val="-52"/>
        </w:rPr>
        <w:t xml:space="preserve"> </w:t>
      </w:r>
      <w:r>
        <w:rPr>
          <w:i/>
        </w:rPr>
        <w:t>Orientations and/or Gender Identities at the University of Otago, Aotearoa New Zealand</w:t>
      </w:r>
      <w:r>
        <w:t>.;</w:t>
      </w:r>
      <w:r>
        <w:rPr>
          <w:spacing w:val="1"/>
        </w:rPr>
        <w:t xml:space="preserve"> </w:t>
      </w:r>
      <w:r>
        <w:t>2016.</w:t>
      </w:r>
      <w:r>
        <w:rPr>
          <w:spacing w:val="-2"/>
        </w:rPr>
        <w:t xml:space="preserve"> </w:t>
      </w:r>
      <w:r>
        <w:t>Accessed</w:t>
      </w:r>
      <w:r>
        <w:rPr>
          <w:spacing w:val="-1"/>
        </w:rPr>
        <w:t xml:space="preserve"> </w:t>
      </w:r>
      <w:r>
        <w:t>December</w:t>
      </w:r>
      <w:r>
        <w:rPr>
          <w:spacing w:val="-3"/>
        </w:rPr>
        <w:t xml:space="preserve"> </w:t>
      </w:r>
      <w:r>
        <w:t>24,</w:t>
      </w:r>
      <w:r>
        <w:rPr>
          <w:spacing w:val="-1"/>
        </w:rPr>
        <w:t xml:space="preserve"> </w:t>
      </w:r>
      <w:r>
        <w:t>2019.</w:t>
      </w:r>
      <w:r>
        <w:rPr>
          <w:spacing w:val="-1"/>
        </w:rPr>
        <w:t xml:space="preserve"> </w:t>
      </w:r>
      <w:r>
        <w:t>https://ourarchive.otago.ac.nz/handle/10523/6950</w:t>
      </w:r>
    </w:p>
    <w:p w14:paraId="4B665EDD" w14:textId="77777777" w:rsidR="002A14F8" w:rsidRDefault="002A14F8">
      <w:pPr>
        <w:pStyle w:val="BodyText"/>
        <w:spacing w:before="9"/>
        <w:rPr>
          <w:sz w:val="20"/>
        </w:rPr>
      </w:pPr>
    </w:p>
    <w:p w14:paraId="31521655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252"/>
      </w:pPr>
      <w:r>
        <w:t>Neville S, Kushner B, Adams J. Coming out narratives</w:t>
      </w:r>
      <w:r>
        <w:t xml:space="preserve"> of older gay men living in New</w:t>
      </w:r>
      <w:r>
        <w:rPr>
          <w:spacing w:val="-52"/>
        </w:rPr>
        <w:t xml:space="preserve"> </w:t>
      </w:r>
      <w:r>
        <w:t>Zealand.</w:t>
      </w:r>
      <w:r>
        <w:rPr>
          <w:spacing w:val="-2"/>
        </w:rPr>
        <w:t xml:space="preserve"> </w:t>
      </w:r>
      <w:r>
        <w:rPr>
          <w:i/>
        </w:rPr>
        <w:t>Australasian</w:t>
      </w:r>
      <w:r>
        <w:rPr>
          <w:i/>
          <w:spacing w:val="-5"/>
        </w:rPr>
        <w:t xml:space="preserve"> </w:t>
      </w: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on</w:t>
      </w:r>
      <w:r>
        <w:rPr>
          <w:i/>
          <w:spacing w:val="-2"/>
        </w:rPr>
        <w:t xml:space="preserve"> </w:t>
      </w:r>
      <w:r>
        <w:rPr>
          <w:i/>
        </w:rPr>
        <w:t>Ageing</w:t>
      </w:r>
      <w:r>
        <w:t>.</w:t>
      </w:r>
      <w:r>
        <w:rPr>
          <w:spacing w:val="-2"/>
        </w:rPr>
        <w:t xml:space="preserve"> </w:t>
      </w:r>
      <w:r>
        <w:t>2015;34(S2):29-33.</w:t>
      </w:r>
      <w:r>
        <w:rPr>
          <w:spacing w:val="-2"/>
        </w:rPr>
        <w:t xml:space="preserve"> </w:t>
      </w:r>
      <w:r>
        <w:t>doi:10.1111/ajag.12277</w:t>
      </w:r>
    </w:p>
    <w:p w14:paraId="352F90BF" w14:textId="77777777" w:rsidR="002A14F8" w:rsidRDefault="002A14F8">
      <w:pPr>
        <w:pStyle w:val="BodyText"/>
        <w:spacing w:before="10"/>
        <w:rPr>
          <w:sz w:val="20"/>
        </w:rPr>
      </w:pPr>
    </w:p>
    <w:p w14:paraId="7CD0CF5E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883"/>
      </w:pPr>
      <w:r>
        <w:t xml:space="preserve">Dickson S. </w:t>
      </w:r>
      <w:r>
        <w:rPr>
          <w:i/>
        </w:rPr>
        <w:t>Building Rainbow Communities Free of Partner and Sexual Violence</w:t>
      </w:r>
      <w:r>
        <w:t>.; 2016.</w:t>
      </w:r>
      <w:r>
        <w:rPr>
          <w:spacing w:val="1"/>
        </w:rPr>
        <w:t xml:space="preserve"> </w:t>
      </w:r>
      <w:hyperlink r:id="rId24">
        <w:r>
          <w:t>http://www.kahukura.co.nz/wp-content/uploads/2017/07/Building-Rainbow-Communities-</w:t>
        </w:r>
      </w:hyperlink>
      <w:r>
        <w:rPr>
          <w:spacing w:val="-52"/>
        </w:rPr>
        <w:t xml:space="preserve"> </w:t>
      </w:r>
      <w:r>
        <w:t>Free-of-Partner-and-Sexual-Violence-2016.pdf</w:t>
      </w:r>
    </w:p>
    <w:p w14:paraId="71B03D22" w14:textId="77777777" w:rsidR="002A14F8" w:rsidRDefault="002A14F8">
      <w:pPr>
        <w:pStyle w:val="BodyText"/>
        <w:spacing w:before="9"/>
        <w:rPr>
          <w:sz w:val="20"/>
        </w:rPr>
      </w:pPr>
    </w:p>
    <w:p w14:paraId="11264873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75"/>
      </w:pPr>
      <w:r>
        <w:t>Powell C. A place to stand:</w:t>
      </w:r>
      <w:r>
        <w:t xml:space="preserve"> Creating inclusive environments for diverse gender tertiary</w:t>
      </w:r>
      <w:r>
        <w:rPr>
          <w:spacing w:val="1"/>
        </w:rPr>
        <w:t xml:space="preserve"> </w:t>
      </w:r>
      <w:r>
        <w:t>students. Published online 2016.</w:t>
      </w:r>
      <w:r>
        <w:rPr>
          <w:spacing w:val="1"/>
        </w:rPr>
        <w:t xml:space="preserve"> </w:t>
      </w:r>
      <w:r>
        <w:rPr>
          <w:spacing w:val="-1"/>
        </w:rPr>
        <w:t>https://unitec.researchbank.ac.nz/bitstream/handle/10652/3651/MEd_2016_Catherine%20Pow</w:t>
      </w:r>
      <w:r>
        <w:t xml:space="preserve"> ell_1249467_Final%20Research.pdf?sequence=1&amp;isAllowed=y</w:t>
      </w:r>
    </w:p>
    <w:p w14:paraId="04B62A70" w14:textId="77777777" w:rsidR="002A14F8" w:rsidRDefault="002A14F8">
      <w:pPr>
        <w:pStyle w:val="BodyText"/>
        <w:spacing w:before="9"/>
        <w:rPr>
          <w:sz w:val="20"/>
        </w:rPr>
      </w:pPr>
    </w:p>
    <w:p w14:paraId="5B86C92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084"/>
      </w:pPr>
      <w:r>
        <w:t>Betts D. Social wo</w:t>
      </w:r>
      <w:r>
        <w:t>rk with older sexual and gender minorities in New Zealand. Published</w:t>
      </w:r>
      <w:r>
        <w:rPr>
          <w:spacing w:val="-52"/>
        </w:rPr>
        <w:t xml:space="preserve"> </w:t>
      </w:r>
      <w:r>
        <w:t>online 2018.</w:t>
      </w:r>
    </w:p>
    <w:p w14:paraId="5CE0AFEB" w14:textId="77777777" w:rsidR="002A14F8" w:rsidRDefault="002A14F8">
      <w:pPr>
        <w:pStyle w:val="BodyText"/>
        <w:spacing w:before="10"/>
        <w:rPr>
          <w:sz w:val="20"/>
        </w:rPr>
      </w:pPr>
    </w:p>
    <w:p w14:paraId="32C9ABC7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665"/>
      </w:pPr>
      <w:r>
        <w:t>Adams J, Neville S. Exploring talk about sexuality and living gay social lives among Chinese</w:t>
      </w:r>
      <w:r>
        <w:rPr>
          <w:spacing w:val="-52"/>
        </w:rPr>
        <w:t xml:space="preserve"> </w:t>
      </w:r>
      <w:r>
        <w:t xml:space="preserve">and South Asian gay and bisexual men in Auckland, New Zealand. </w:t>
      </w:r>
      <w:r>
        <w:rPr>
          <w:i/>
        </w:rPr>
        <w:t>Ethnicity &amp; Health</w:t>
      </w:r>
      <w:r>
        <w:t>.</w:t>
      </w:r>
      <w:r>
        <w:rPr>
          <w:spacing w:val="1"/>
        </w:rPr>
        <w:t xml:space="preserve"> </w:t>
      </w:r>
      <w:r>
        <w:t>Published</w:t>
      </w:r>
      <w:r>
        <w:rPr>
          <w:spacing w:val="-4"/>
        </w:rPr>
        <w:t xml:space="preserve"> </w:t>
      </w:r>
      <w:r>
        <w:t>online</w:t>
      </w:r>
      <w:r>
        <w:rPr>
          <w:spacing w:val="-2"/>
        </w:rPr>
        <w:t xml:space="preserve"> </w:t>
      </w:r>
      <w:r>
        <w:t>2018. doi:10.1080/13557858.2018.1439893</w:t>
      </w:r>
    </w:p>
    <w:p w14:paraId="7DCFD039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2874203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539"/>
      </w:pPr>
      <w:r>
        <w:lastRenderedPageBreak/>
        <w:t>Kerek</w:t>
      </w:r>
      <w:r>
        <w:t>ere E. Part of the Whānau: The emergence of Takatāpui identity.</w:t>
      </w:r>
      <w:r>
        <w:rPr>
          <w:spacing w:val="1"/>
        </w:rPr>
        <w:t xml:space="preserve"> </w:t>
      </w:r>
      <w:r>
        <w:t>https://static1.squarespace.com/static/5893cf9215d5db8ef4a8dc98/t/590fe54c1e5b6c8e16f8cd</w:t>
      </w:r>
      <w:r>
        <w:rPr>
          <w:spacing w:val="1"/>
        </w:rPr>
        <w:t xml:space="preserve"> </w:t>
      </w:r>
      <w:r>
        <w:rPr>
          <w:spacing w:val="-1"/>
        </w:rPr>
        <w:t>01/1494213974577/KEREKERE+Part+of+the+Whanau+The+Emergence+of+Takatapui+Iden</w:t>
      </w:r>
      <w:r>
        <w:t xml:space="preserve"> tity-1.pdf</w:t>
      </w:r>
    </w:p>
    <w:p w14:paraId="0A05454A" w14:textId="77777777" w:rsidR="002A14F8" w:rsidRDefault="002A14F8">
      <w:pPr>
        <w:pStyle w:val="BodyText"/>
        <w:rPr>
          <w:sz w:val="21"/>
        </w:rPr>
      </w:pPr>
    </w:p>
    <w:p w14:paraId="073FD0C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86"/>
      </w:pPr>
      <w:r>
        <w:t>Fraser BJ. The</w:t>
      </w:r>
      <w:r>
        <w:t xml:space="preserve"> Queer Agenda: Exploring the political participation of LGBTIQ+ youth.</w:t>
      </w:r>
      <w:r>
        <w:rPr>
          <w:spacing w:val="1"/>
        </w:rPr>
        <w:t xml:space="preserve"> </w:t>
      </w:r>
      <w:r>
        <w:t>Published online 2017.</w:t>
      </w:r>
      <w:r>
        <w:rPr>
          <w:spacing w:val="1"/>
        </w:rPr>
        <w:t xml:space="preserve"> </w:t>
      </w:r>
      <w:hyperlink r:id="rId25">
        <w:r>
          <w:rPr>
            <w:spacing w:val="-1"/>
          </w:rPr>
          <w:t>http://researcharchive.vuw.ac.nz/bitstream/handle/100</w:t>
        </w:r>
        <w:r>
          <w:rPr>
            <w:spacing w:val="-1"/>
          </w:rPr>
          <w:t>63/6564/thesis_access.pdf?sequence=1</w:t>
        </w:r>
      </w:hyperlink>
    </w:p>
    <w:p w14:paraId="3639DC54" w14:textId="77777777" w:rsidR="002A14F8" w:rsidRDefault="002A14F8">
      <w:pPr>
        <w:pStyle w:val="BodyText"/>
        <w:spacing w:before="9"/>
        <w:rPr>
          <w:sz w:val="20"/>
        </w:rPr>
      </w:pPr>
    </w:p>
    <w:p w14:paraId="64C66186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43"/>
      </w:pPr>
      <w:r>
        <w:t>Burford J, Lucassen MFG, Hamilton T. Evaluating a gender diversity workshop to promote</w:t>
      </w:r>
      <w:r>
        <w:rPr>
          <w:spacing w:val="-52"/>
        </w:rPr>
        <w:t xml:space="preserve"> </w:t>
      </w:r>
      <w:r>
        <w:t xml:space="preserve">positive learning environments. </w:t>
      </w:r>
      <w:r>
        <w:rPr>
          <w:i/>
        </w:rPr>
        <w:t>Journal of LGBT Youth</w:t>
      </w:r>
      <w:r>
        <w:t>. 2017;14(2):211-227.</w:t>
      </w:r>
      <w:r>
        <w:rPr>
          <w:spacing w:val="1"/>
        </w:rPr>
        <w:t xml:space="preserve"> </w:t>
      </w:r>
      <w:r>
        <w:t>doi:10.1080/19361653.2016.1264910</w:t>
      </w:r>
    </w:p>
    <w:p w14:paraId="299837CF" w14:textId="77777777" w:rsidR="002A14F8" w:rsidRDefault="002A14F8">
      <w:pPr>
        <w:pStyle w:val="BodyText"/>
        <w:spacing w:before="10"/>
        <w:rPr>
          <w:sz w:val="20"/>
        </w:rPr>
      </w:pPr>
    </w:p>
    <w:p w14:paraId="4FA1C9C7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497"/>
      </w:pPr>
      <w:r>
        <w:t>Office of the Childre</w:t>
      </w:r>
      <w:r>
        <w:t xml:space="preserve">n’s Commissioner, Oranga Tamariki-Ministry for Children. </w:t>
      </w:r>
      <w:r>
        <w:rPr>
          <w:i/>
        </w:rPr>
        <w:t>What Makes a</w:t>
      </w:r>
      <w:r>
        <w:rPr>
          <w:i/>
          <w:spacing w:val="-52"/>
        </w:rPr>
        <w:t xml:space="preserve"> </w:t>
      </w:r>
      <w:r>
        <w:rPr>
          <w:i/>
        </w:rPr>
        <w:t>Good Life?: Children and Young People’s Views on Wellbeing</w:t>
      </w:r>
      <w:r>
        <w:t>.; 2019. Accessed January 24,</w:t>
      </w:r>
      <w:r>
        <w:rPr>
          <w:spacing w:val="1"/>
        </w:rPr>
        <w:t xml:space="preserve"> </w:t>
      </w:r>
      <w:r>
        <w:t xml:space="preserve">2020. </w:t>
      </w:r>
      <w:hyperlink r:id="rId26">
        <w:r>
          <w:t>http://www.occ.org.nz/assets/Uploads/What-makes-a-good-life-report-OCC-OT-2019-</w:t>
        </w:r>
      </w:hyperlink>
      <w:r>
        <w:rPr>
          <w:spacing w:val="1"/>
        </w:rPr>
        <w:t xml:space="preserve"> </w:t>
      </w:r>
      <w:r>
        <w:t>WEB2.pdf</w:t>
      </w:r>
    </w:p>
    <w:p w14:paraId="0CC6BF5F" w14:textId="77777777" w:rsidR="002A14F8" w:rsidRDefault="002A14F8">
      <w:pPr>
        <w:pStyle w:val="BodyText"/>
        <w:rPr>
          <w:sz w:val="21"/>
        </w:rPr>
      </w:pPr>
    </w:p>
    <w:p w14:paraId="3FA85E7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64"/>
      </w:pPr>
      <w:r>
        <w:t>Chandra K. Gender identity: Exploring struggles &amp; school support among New Zealand senior</w:t>
      </w:r>
      <w:r>
        <w:rPr>
          <w:spacing w:val="-53"/>
        </w:rPr>
        <w:t xml:space="preserve"> </w:t>
      </w:r>
      <w:r>
        <w:t>secondary students. Published online 2019.</w:t>
      </w:r>
      <w:r>
        <w:rPr>
          <w:spacing w:val="1"/>
        </w:rPr>
        <w:t xml:space="preserve"> </w:t>
      </w:r>
      <w:hyperlink r:id="rId27">
        <w:r>
          <w:t>http://researcharchive.vuw.ac.nz/bitstream/handle/10063/8507/thesis_access.pdf?sequence=1</w:t>
        </w:r>
      </w:hyperlink>
    </w:p>
    <w:p w14:paraId="393C51CC" w14:textId="77777777" w:rsidR="002A14F8" w:rsidRDefault="002A14F8">
      <w:pPr>
        <w:pStyle w:val="BodyText"/>
        <w:spacing w:before="9"/>
        <w:rPr>
          <w:sz w:val="20"/>
        </w:rPr>
      </w:pPr>
    </w:p>
    <w:p w14:paraId="5A1AC7CA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191"/>
      </w:pPr>
      <w:r>
        <w:t>Cooper KF. “I just want to be who I am” Exploring the barr</w:t>
      </w:r>
      <w:r>
        <w:t>iers faced by lesbian early</w:t>
      </w:r>
      <w:r>
        <w:rPr>
          <w:spacing w:val="1"/>
        </w:rPr>
        <w:t xml:space="preserve"> </w:t>
      </w:r>
      <w:r>
        <w:t>childhood teachers as they disrupt heteronormative practices in Aotearoa/New Zealand.</w:t>
      </w:r>
      <w:r>
        <w:rPr>
          <w:spacing w:val="-52"/>
        </w:rPr>
        <w:t xml:space="preserve"> </w:t>
      </w:r>
      <w:r>
        <w:t>Published</w:t>
      </w:r>
      <w:r>
        <w:rPr>
          <w:spacing w:val="-3"/>
        </w:rPr>
        <w:t xml:space="preserve"> </w:t>
      </w:r>
      <w:r>
        <w:t>online</w:t>
      </w:r>
      <w:r>
        <w:rPr>
          <w:spacing w:val="-2"/>
        </w:rPr>
        <w:t xml:space="preserve"> </w:t>
      </w:r>
      <w:r>
        <w:t>2015.</w:t>
      </w:r>
    </w:p>
    <w:p w14:paraId="506F7190" w14:textId="77777777" w:rsidR="002A14F8" w:rsidRDefault="002A14F8">
      <w:pPr>
        <w:pStyle w:val="BodyText"/>
        <w:spacing w:before="10"/>
        <w:rPr>
          <w:sz w:val="20"/>
        </w:rPr>
      </w:pPr>
    </w:p>
    <w:p w14:paraId="5E6491B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030"/>
      </w:pPr>
      <w:r>
        <w:t>Sterling R. Intersex People – who are they and how many are there? Dr. Rogena Sterling.</w:t>
      </w:r>
      <w:r>
        <w:rPr>
          <w:spacing w:val="-52"/>
        </w:rPr>
        <w:t xml:space="preserve"> </w:t>
      </w:r>
      <w:r>
        <w:t>Published February 9, 2020. Accessed March 20, 2020.</w:t>
      </w:r>
      <w:r>
        <w:rPr>
          <w:spacing w:val="1"/>
        </w:rPr>
        <w:t xml:space="preserve"> </w:t>
      </w:r>
      <w:r>
        <w:t>https://wordpress.com/view/rogenasterling.wordpress.com</w:t>
      </w:r>
    </w:p>
    <w:p w14:paraId="533691E9" w14:textId="77777777" w:rsidR="002A14F8" w:rsidRDefault="002A14F8">
      <w:pPr>
        <w:pStyle w:val="BodyText"/>
        <w:spacing w:before="9"/>
        <w:rPr>
          <w:sz w:val="20"/>
        </w:rPr>
      </w:pPr>
    </w:p>
    <w:p w14:paraId="6F888A95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32"/>
      </w:pPr>
      <w:r>
        <w:t xml:space="preserve">Human Rights Commission. </w:t>
      </w:r>
      <w:r>
        <w:rPr>
          <w:i/>
        </w:rPr>
        <w:t>Intersex Roundtable Report 2017 -</w:t>
      </w:r>
      <w:r>
        <w:rPr>
          <w:i/>
        </w:rPr>
        <w:t xml:space="preserve"> Ending the Practice of Genital</w:t>
      </w:r>
      <w:r>
        <w:rPr>
          <w:i/>
          <w:spacing w:val="-52"/>
        </w:rPr>
        <w:t xml:space="preserve"> </w:t>
      </w:r>
      <w:r>
        <w:rPr>
          <w:i/>
        </w:rPr>
        <w:t>Normalisation on Intersex Children in Aotearoa New Zealand</w:t>
      </w:r>
      <w:r>
        <w:t>.; 2018.</w:t>
      </w:r>
      <w:r>
        <w:rPr>
          <w:spacing w:val="1"/>
        </w:rPr>
        <w:t xml:space="preserve"> </w:t>
      </w:r>
      <w:r>
        <w:t>https://</w:t>
      </w:r>
      <w:hyperlink r:id="rId28">
        <w:r>
          <w:t>www.hrc.co.nz/files/9615/2270/4142/HRC_Intersex_Roundta</w:t>
        </w:r>
        <w:r>
          <w:t>ble_2017.pdf</w:t>
        </w:r>
      </w:hyperlink>
    </w:p>
    <w:p w14:paraId="64396865" w14:textId="77777777" w:rsidR="002A14F8" w:rsidRDefault="002A14F8">
      <w:pPr>
        <w:pStyle w:val="BodyText"/>
        <w:spacing w:before="1"/>
        <w:rPr>
          <w:sz w:val="21"/>
        </w:rPr>
      </w:pPr>
    </w:p>
    <w:p w14:paraId="0966C4A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37"/>
      </w:pPr>
      <w:r>
        <w:t xml:space="preserve">Germon JE. </w:t>
      </w:r>
      <w:r>
        <w:rPr>
          <w:i/>
        </w:rPr>
        <w:t>Gender: A Genealogy of an Idea</w:t>
      </w:r>
      <w:r>
        <w:t>. E-Book. Palgrave Macmillan; 2010. Accessed</w:t>
      </w:r>
      <w:r>
        <w:rPr>
          <w:spacing w:val="-52"/>
        </w:rPr>
        <w:t xml:space="preserve"> </w:t>
      </w:r>
      <w:r>
        <w:t>November 2, 2019.</w:t>
      </w:r>
      <w:r>
        <w:rPr>
          <w:spacing w:val="1"/>
        </w:rPr>
        <w:t xml:space="preserve"> </w:t>
      </w:r>
      <w:hyperlink r:id="rId29">
        <w:r>
          <w:t>http://www.dawsonera.com/depp/reade</w:t>
        </w:r>
        <w:r>
          <w:t>r/protected/external/AbstractView/S9780230101814</w:t>
        </w:r>
      </w:hyperlink>
    </w:p>
    <w:p w14:paraId="469426D2" w14:textId="77777777" w:rsidR="002A14F8" w:rsidRDefault="002A14F8">
      <w:pPr>
        <w:pStyle w:val="BodyText"/>
        <w:spacing w:before="9"/>
        <w:rPr>
          <w:sz w:val="20"/>
        </w:rPr>
      </w:pPr>
    </w:p>
    <w:p w14:paraId="3CA21770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777"/>
      </w:pPr>
      <w:r>
        <w:t xml:space="preserve">Ministry of Youth Development. </w:t>
      </w:r>
      <w:r>
        <w:rPr>
          <w:i/>
        </w:rPr>
        <w:t>An Introduction and Context for the Development of Youth</w:t>
      </w:r>
      <w:r>
        <w:rPr>
          <w:i/>
          <w:spacing w:val="-52"/>
        </w:rPr>
        <w:t xml:space="preserve"> </w:t>
      </w:r>
      <w:r>
        <w:rPr>
          <w:i/>
        </w:rPr>
        <w:t>Policy</w:t>
      </w:r>
      <w:r>
        <w:t xml:space="preserve">.; :2009. </w:t>
      </w:r>
      <w:hyperlink r:id="rId30">
        <w:r>
          <w:t>http://www.my</w:t>
        </w:r>
        <w:r>
          <w:t>d.govt.nz/documents/policy-and-research/policy-document-</w:t>
        </w:r>
      </w:hyperlink>
      <w:r>
        <w:rPr>
          <w:spacing w:val="1"/>
        </w:rPr>
        <w:t xml:space="preserve"> </w:t>
      </w:r>
      <w:r>
        <w:t>final.pdf</w:t>
      </w:r>
    </w:p>
    <w:p w14:paraId="3169F2AA" w14:textId="77777777" w:rsidR="002A14F8" w:rsidRDefault="002A14F8">
      <w:pPr>
        <w:pStyle w:val="BodyText"/>
        <w:spacing w:before="9"/>
        <w:rPr>
          <w:sz w:val="20"/>
        </w:rPr>
      </w:pPr>
    </w:p>
    <w:p w14:paraId="488F287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41"/>
      </w:pPr>
      <w:r>
        <w:t>Beals FM. Reading between the lines: Representations and constructions of youth and crime in</w:t>
      </w:r>
      <w:r>
        <w:rPr>
          <w:spacing w:val="-52"/>
        </w:rPr>
        <w:t xml:space="preserve"> </w:t>
      </w:r>
      <w:r>
        <w:t>Aotearoa/New Zealand. Published online 2006.</w:t>
      </w:r>
      <w:r>
        <w:rPr>
          <w:spacing w:val="1"/>
        </w:rPr>
        <w:t xml:space="preserve"> </w:t>
      </w:r>
      <w:hyperlink r:id="rId31">
        <w:r>
          <w:t>http://researcharchive.vuw.ac.nz/bitstream/handle/10063/71/thesis.pdf?sequence=2</w:t>
        </w:r>
      </w:hyperlink>
    </w:p>
    <w:p w14:paraId="37104CBA" w14:textId="77777777" w:rsidR="002A14F8" w:rsidRDefault="002A14F8">
      <w:pPr>
        <w:pStyle w:val="BodyText"/>
        <w:spacing w:before="10"/>
        <w:rPr>
          <w:sz w:val="20"/>
        </w:rPr>
      </w:pPr>
    </w:p>
    <w:p w14:paraId="075C39D7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67"/>
      </w:pPr>
      <w:r>
        <w:t>Adolescent Health Reseearch Group. About the Youth2000 survey series: National youth</w:t>
      </w:r>
      <w:r>
        <w:rPr>
          <w:spacing w:val="1"/>
        </w:rPr>
        <w:t xml:space="preserve"> </w:t>
      </w:r>
      <w:r>
        <w:t>health and wellbeing surveys. https://</w:t>
      </w:r>
      <w:hyperlink r:id="rId32">
        <w:r>
          <w:t>www.fmhs.auckland.ac.nz/en/faculty/adolescent-health-</w:t>
        </w:r>
      </w:hyperlink>
      <w:r>
        <w:rPr>
          <w:spacing w:val="-52"/>
        </w:rPr>
        <w:t xml:space="preserve"> </w:t>
      </w:r>
      <w:r>
        <w:t>research-group/youth2000-national-youth-health-survey-series.html</w:t>
      </w:r>
    </w:p>
    <w:p w14:paraId="78239E68" w14:textId="77777777" w:rsidR="002A14F8" w:rsidRDefault="002A14F8">
      <w:pPr>
        <w:pStyle w:val="BodyText"/>
        <w:spacing w:before="9"/>
        <w:rPr>
          <w:sz w:val="20"/>
        </w:rPr>
      </w:pPr>
    </w:p>
    <w:p w14:paraId="0980E98E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497"/>
      </w:pPr>
      <w:r>
        <w:t xml:space="preserve">Office of the Children’s Commissioner, Oranga Tamariki-Ministry for Children. </w:t>
      </w:r>
      <w:r>
        <w:rPr>
          <w:i/>
        </w:rPr>
        <w:t>What Makes a</w:t>
      </w:r>
      <w:r>
        <w:rPr>
          <w:i/>
          <w:spacing w:val="-52"/>
        </w:rPr>
        <w:t xml:space="preserve"> </w:t>
      </w:r>
      <w:r>
        <w:rPr>
          <w:i/>
        </w:rPr>
        <w:t>Good</w:t>
      </w:r>
      <w:r>
        <w:rPr>
          <w:i/>
          <w:spacing w:val="-1"/>
        </w:rPr>
        <w:t xml:space="preserve"> </w:t>
      </w:r>
      <w:r>
        <w:rPr>
          <w:i/>
        </w:rPr>
        <w:t>Life? Follow-up Report</w:t>
      </w:r>
      <w:r>
        <w:t>.;</w:t>
      </w:r>
      <w:r>
        <w:rPr>
          <w:spacing w:val="1"/>
        </w:rPr>
        <w:t xml:space="preserve"> </w:t>
      </w:r>
      <w:r>
        <w:t>2019.</w:t>
      </w:r>
      <w:r>
        <w:rPr>
          <w:spacing w:val="1"/>
        </w:rPr>
        <w:t xml:space="preserve"> </w:t>
      </w:r>
      <w:r>
        <w:t>https://</w:t>
      </w:r>
      <w:hyperlink r:id="rId33">
        <w:r>
          <w:t>www.orangatamariki.govt.nz/assets/Uploads/Research/Latest-research/What-makes-a-</w:t>
        </w:r>
      </w:hyperlink>
      <w:r>
        <w:rPr>
          <w:spacing w:val="1"/>
        </w:rPr>
        <w:t xml:space="preserve"> </w:t>
      </w:r>
      <w:r>
        <w:t>good-life/What-Makes-a-Good-Life-Follow-up-Report.pdf</w:t>
      </w:r>
    </w:p>
    <w:p w14:paraId="318CA41C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7B80907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500"/>
      </w:pPr>
      <w:r>
        <w:lastRenderedPageBreak/>
        <w:t>Canning J, Denny S, Bullen P, Clark T, Rossen F. Influence of positive development</w:t>
      </w:r>
      <w:r>
        <w:rPr>
          <w:spacing w:val="1"/>
        </w:rPr>
        <w:t xml:space="preserve"> </w:t>
      </w:r>
      <w:r>
        <w:t>opportunities on student well-being, depression and suicide risk: the New Zealand Youth</w:t>
      </w:r>
      <w:r>
        <w:rPr>
          <w:spacing w:val="1"/>
        </w:rPr>
        <w:t xml:space="preserve"> </w:t>
      </w:r>
      <w:r>
        <w:t xml:space="preserve">Health and Well-being Survey 2012. </w:t>
      </w:r>
      <w:r>
        <w:rPr>
          <w:i/>
        </w:rPr>
        <w:t>Kōtuitui: New Zealand Journal of Social Sciences O</w:t>
      </w:r>
      <w:r>
        <w:rPr>
          <w:i/>
        </w:rPr>
        <w:t>nline</w:t>
      </w:r>
      <w:r>
        <w:t>.</w:t>
      </w:r>
      <w:r>
        <w:rPr>
          <w:spacing w:val="-52"/>
        </w:rPr>
        <w:t xml:space="preserve"> </w:t>
      </w:r>
      <w:r>
        <w:t>2017;12(2):119-133.</w:t>
      </w:r>
      <w:r>
        <w:rPr>
          <w:spacing w:val="-1"/>
        </w:rPr>
        <w:t xml:space="preserve"> </w:t>
      </w:r>
      <w:r>
        <w:t>doi:10.1080/1177083X.2017.1300924</w:t>
      </w:r>
    </w:p>
    <w:p w14:paraId="0E345F89" w14:textId="77777777" w:rsidR="002A14F8" w:rsidRDefault="002A14F8">
      <w:pPr>
        <w:pStyle w:val="BodyText"/>
        <w:rPr>
          <w:sz w:val="21"/>
        </w:rPr>
      </w:pPr>
    </w:p>
    <w:p w14:paraId="0A41C6F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39"/>
      </w:pPr>
      <w:r>
        <w:t>Simcock C. Community influences on rural youth wellbeing: Young people’s perspectives.</w:t>
      </w:r>
      <w:r>
        <w:rPr>
          <w:spacing w:val="1"/>
        </w:rPr>
        <w:t xml:space="preserve"> </w:t>
      </w:r>
      <w:r>
        <w:t>Published online 2016.</w:t>
      </w:r>
      <w:r>
        <w:rPr>
          <w:spacing w:val="1"/>
        </w:rPr>
        <w:t xml:space="preserve"> </w:t>
      </w:r>
      <w:r>
        <w:rPr>
          <w:spacing w:val="-1"/>
        </w:rPr>
        <w:t>https://researchcommons.waikato.ac.nz/bitstream/handle/10289/10609/thesis.pdf?sequen</w:t>
      </w:r>
      <w:r>
        <w:rPr>
          <w:spacing w:val="-1"/>
        </w:rPr>
        <w:t>ce=4</w:t>
      </w:r>
      <w:r>
        <w:t xml:space="preserve"> &amp;isAllowed=y</w:t>
      </w:r>
    </w:p>
    <w:p w14:paraId="1879B98F" w14:textId="77777777" w:rsidR="002A14F8" w:rsidRDefault="002A14F8">
      <w:pPr>
        <w:pStyle w:val="BodyText"/>
        <w:spacing w:before="8"/>
        <w:rPr>
          <w:sz w:val="20"/>
        </w:rPr>
      </w:pPr>
    </w:p>
    <w:p w14:paraId="10D06AA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77"/>
      </w:pPr>
      <w:r>
        <w:t>Brake K. Youth perspectives on participation and inclusion in city life post-disaster. Published</w:t>
      </w:r>
      <w:r>
        <w:rPr>
          <w:spacing w:val="-52"/>
        </w:rPr>
        <w:t xml:space="preserve"> </w:t>
      </w:r>
      <w:r>
        <w:t>online 2018.</w:t>
      </w:r>
      <w:r>
        <w:rPr>
          <w:spacing w:val="1"/>
        </w:rPr>
        <w:t xml:space="preserve"> </w:t>
      </w:r>
      <w:r>
        <w:t>https://ir.canterbury.ac.nz/bitstream/handle/10092/16618/Brake%2c%20Kendall_Master%27s</w:t>
      </w:r>
    </w:p>
    <w:p w14:paraId="2698825A" w14:textId="77777777" w:rsidR="002A14F8" w:rsidRDefault="003458B8">
      <w:pPr>
        <w:pStyle w:val="BodyText"/>
        <w:spacing w:line="252" w:lineRule="exact"/>
        <w:ind w:left="1164"/>
      </w:pPr>
      <w:r>
        <w:t>%20Thesis.pdf?sequence=1&amp;isAllowed=y</w:t>
      </w:r>
    </w:p>
    <w:p w14:paraId="43CD8FEF" w14:textId="77777777" w:rsidR="002A14F8" w:rsidRDefault="002A14F8">
      <w:pPr>
        <w:pStyle w:val="BodyText"/>
        <w:rPr>
          <w:sz w:val="21"/>
        </w:rPr>
      </w:pPr>
    </w:p>
    <w:p w14:paraId="4017AA7A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14"/>
      </w:pPr>
      <w:r>
        <w:t>Th</w:t>
      </w:r>
      <w:r>
        <w:t xml:space="preserve">e Salvation Army. </w:t>
      </w:r>
      <w:r>
        <w:rPr>
          <w:i/>
        </w:rPr>
        <w:t>Aspire Kiwi Youth Development: 2017 Programme Report</w:t>
      </w:r>
      <w:r>
        <w:t>.; 2017.</w:t>
      </w:r>
      <w:r>
        <w:rPr>
          <w:spacing w:val="1"/>
        </w:rPr>
        <w:t xml:space="preserve"> </w:t>
      </w:r>
      <w:r>
        <w:rPr>
          <w:spacing w:val="-1"/>
        </w:rPr>
        <w:t>https://</w:t>
      </w:r>
      <w:hyperlink r:id="rId34">
        <w:r>
          <w:rPr>
            <w:spacing w:val="-1"/>
          </w:rPr>
          <w:t>www.salvationarmy.org.nz/sites/default/files/uploads/20180</w:t>
        </w:r>
        <w:r>
          <w:rPr>
            <w:spacing w:val="-1"/>
          </w:rPr>
          <w:t>522aspire_2017_report_offi</w:t>
        </w:r>
      </w:hyperlink>
      <w:r>
        <w:t xml:space="preserve"> cial.pdf</w:t>
      </w:r>
    </w:p>
    <w:p w14:paraId="66F3DE50" w14:textId="77777777" w:rsidR="002A14F8" w:rsidRDefault="002A14F8">
      <w:pPr>
        <w:pStyle w:val="BodyText"/>
        <w:spacing w:before="10"/>
        <w:rPr>
          <w:sz w:val="20"/>
        </w:rPr>
      </w:pPr>
    </w:p>
    <w:p w14:paraId="34A494A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33"/>
      </w:pPr>
      <w:r>
        <w:t>Edwards E. “We’re all in the same boat”: Views and experiences of stress, coping, and help-</w:t>
      </w:r>
      <w:r>
        <w:rPr>
          <w:spacing w:val="1"/>
        </w:rPr>
        <w:t xml:space="preserve"> </w:t>
      </w:r>
      <w:r>
        <w:t>seeking among New Zealand youth. Published online 2016.</w:t>
      </w:r>
      <w:r>
        <w:rPr>
          <w:spacing w:val="1"/>
        </w:rPr>
        <w:t xml:space="preserve"> </w:t>
      </w:r>
      <w:r>
        <w:rPr>
          <w:spacing w:val="-1"/>
        </w:rPr>
        <w:t>https://</w:t>
      </w:r>
      <w:hyperlink r:id="rId35">
        <w:r>
          <w:rPr>
            <w:spacing w:val="-1"/>
          </w:rPr>
          <w:t>www.researchgate.net/profile/Emma_Edwards3/publication/335754596_WE'RE_ALL_</w:t>
        </w:r>
      </w:hyperlink>
      <w:r>
        <w:t xml:space="preserve"> </w:t>
      </w:r>
      <w:r>
        <w:rPr>
          <w:spacing w:val="-1"/>
        </w:rPr>
        <w:t>IN_THE_SAME_BOAT_VIEWS_AND_EXPERIENCES_OF_STRESS_COPING_AND_HE</w:t>
      </w:r>
      <w:r>
        <w:t xml:space="preserve"> LP-</w:t>
      </w:r>
      <w:r>
        <w:rPr>
          <w:spacing w:val="1"/>
        </w:rPr>
        <w:t xml:space="preserve"> </w:t>
      </w:r>
      <w:r>
        <w:t>SEEKING_AMONG_NEW_ZEALAND_YOUTH/links/5d79a38c299bf1cb809978af/WERE-</w:t>
      </w:r>
      <w:r>
        <w:rPr>
          <w:spacing w:val="-52"/>
        </w:rPr>
        <w:t xml:space="preserve"> </w:t>
      </w:r>
      <w:r>
        <w:t>ALL-IN-THE-SAME-BOAT-VIEWS-AND-EXPERIENCES-OF-STRESS-COPING-AND-</w:t>
      </w:r>
      <w:r>
        <w:rPr>
          <w:spacing w:val="1"/>
        </w:rPr>
        <w:t xml:space="preserve"> </w:t>
      </w:r>
      <w:r>
        <w:t>HELP-SEEKING-AMONG-NEW-ZEALAND-YOUTH.pdf</w:t>
      </w:r>
    </w:p>
    <w:p w14:paraId="28E7B298" w14:textId="77777777" w:rsidR="002A14F8" w:rsidRDefault="002A14F8">
      <w:pPr>
        <w:pStyle w:val="BodyText"/>
        <w:spacing w:before="10"/>
        <w:rPr>
          <w:sz w:val="20"/>
        </w:rPr>
      </w:pPr>
    </w:p>
    <w:p w14:paraId="5BBB4895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047"/>
      </w:pPr>
      <w:r>
        <w:t>Stubbing J, Gibson K. Young people’s explanations for youth suicide in New Zeala</w:t>
      </w:r>
      <w:r>
        <w:t>nd: A</w:t>
      </w:r>
      <w:r>
        <w:rPr>
          <w:spacing w:val="-52"/>
        </w:rPr>
        <w:t xml:space="preserve"> </w:t>
      </w:r>
      <w:r>
        <w:t xml:space="preserve">thematic analysis. </w:t>
      </w:r>
      <w:r>
        <w:rPr>
          <w:i/>
        </w:rPr>
        <w:t>Journal of Youth Studies</w:t>
      </w:r>
      <w:r>
        <w:t>. 2019;22(4):520-532.</w:t>
      </w:r>
      <w:r>
        <w:rPr>
          <w:spacing w:val="1"/>
        </w:rPr>
        <w:t xml:space="preserve"> </w:t>
      </w:r>
      <w:r>
        <w:t>doi:10.1080/13676261.2018.1516862</w:t>
      </w:r>
    </w:p>
    <w:p w14:paraId="3ADC7464" w14:textId="77777777" w:rsidR="002A14F8" w:rsidRDefault="002A14F8">
      <w:pPr>
        <w:pStyle w:val="BodyText"/>
        <w:rPr>
          <w:sz w:val="21"/>
        </w:rPr>
      </w:pPr>
    </w:p>
    <w:p w14:paraId="3669E843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1304"/>
      </w:pPr>
      <w:r>
        <w:t>Williams C. Making sense of youth suicide: Exploring young New Zealanders’ views.</w:t>
      </w:r>
      <w:r>
        <w:rPr>
          <w:spacing w:val="-52"/>
        </w:rPr>
        <w:t xml:space="preserve"> </w:t>
      </w:r>
      <w:r>
        <w:t>Published</w:t>
      </w:r>
      <w:r>
        <w:rPr>
          <w:spacing w:val="-3"/>
        </w:rPr>
        <w:t xml:space="preserve"> </w:t>
      </w:r>
      <w:r>
        <w:t>online</w:t>
      </w:r>
      <w:r>
        <w:rPr>
          <w:spacing w:val="-2"/>
        </w:rPr>
        <w:t xml:space="preserve"> </w:t>
      </w:r>
      <w:r>
        <w:t>2016.</w:t>
      </w:r>
    </w:p>
    <w:p w14:paraId="18001434" w14:textId="77777777" w:rsidR="002A14F8" w:rsidRDefault="002A14F8">
      <w:pPr>
        <w:pStyle w:val="BodyText"/>
        <w:spacing w:before="7"/>
        <w:rPr>
          <w:sz w:val="20"/>
        </w:rPr>
      </w:pPr>
    </w:p>
    <w:p w14:paraId="5613DBC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965"/>
      </w:pPr>
      <w:r>
        <w:t>Chan S, Denny S, Fleming T, Fortune S, Peiris-John R, Dyson B. Exposure to suicide</w:t>
      </w:r>
      <w:r>
        <w:rPr>
          <w:spacing w:val="1"/>
        </w:rPr>
        <w:t xml:space="preserve"> </w:t>
      </w:r>
      <w:r>
        <w:t>behaviour and individual risk of self-harm: Findings from a nationally representative New</w:t>
      </w:r>
      <w:r>
        <w:rPr>
          <w:spacing w:val="-52"/>
        </w:rPr>
        <w:t xml:space="preserve"> </w:t>
      </w:r>
      <w:r>
        <w:t xml:space="preserve">Zealand high school survey. </w:t>
      </w:r>
      <w:r>
        <w:rPr>
          <w:i/>
        </w:rPr>
        <w:t>Aust N Z J Psychiatry</w:t>
      </w:r>
      <w:r>
        <w:t>. 2018;52(4):349-356.</w:t>
      </w:r>
      <w:r>
        <w:rPr>
          <w:spacing w:val="1"/>
        </w:rPr>
        <w:t xml:space="preserve"> </w:t>
      </w:r>
      <w:r>
        <w:t>doi:10.1177/</w:t>
      </w:r>
      <w:r>
        <w:t>0004867417710728</w:t>
      </w:r>
    </w:p>
    <w:p w14:paraId="52E2D5FA" w14:textId="77777777" w:rsidR="002A14F8" w:rsidRDefault="002A14F8">
      <w:pPr>
        <w:pStyle w:val="BodyText"/>
        <w:spacing w:before="10"/>
        <w:rPr>
          <w:sz w:val="20"/>
        </w:rPr>
      </w:pPr>
    </w:p>
    <w:p w14:paraId="6337C79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576"/>
      </w:pPr>
      <w:r>
        <w:t>Walsh MC, Joyce S, Maloney T, Vaithianathan R, Centre for Social Data Analytics, Auckland</w:t>
      </w:r>
      <w:r>
        <w:rPr>
          <w:spacing w:val="-52"/>
        </w:rPr>
        <w:t xml:space="preserve"> </w:t>
      </w:r>
      <w:r>
        <w:t xml:space="preserve">University of Technology. </w:t>
      </w:r>
      <w:r>
        <w:rPr>
          <w:i/>
        </w:rPr>
        <w:t>Protective Factors of Children and Families at Highest Risk of</w:t>
      </w:r>
      <w:r>
        <w:rPr>
          <w:i/>
          <w:spacing w:val="1"/>
        </w:rPr>
        <w:t xml:space="preserve"> </w:t>
      </w:r>
      <w:r>
        <w:rPr>
          <w:i/>
        </w:rPr>
        <w:t xml:space="preserve">Adverse Childhood Experiences: An Analysis of Children and </w:t>
      </w:r>
      <w:r>
        <w:rPr>
          <w:i/>
        </w:rPr>
        <w:t>Families in the Growing up in</w:t>
      </w:r>
      <w:r>
        <w:rPr>
          <w:i/>
          <w:spacing w:val="1"/>
        </w:rPr>
        <w:t xml:space="preserve"> </w:t>
      </w:r>
      <w:r>
        <w:rPr>
          <w:i/>
        </w:rPr>
        <w:t>New Zealand Data Who “Beat the Odds.”</w:t>
      </w:r>
      <w:r>
        <w:t>; 2019. https://</w:t>
      </w:r>
      <w:hyperlink r:id="rId36">
        <w:r>
          <w:t>www.msd.govt.nz/documents/about-</w:t>
        </w:r>
      </w:hyperlink>
      <w:r>
        <w:rPr>
          <w:spacing w:val="1"/>
        </w:rPr>
        <w:t xml:space="preserve"> </w:t>
      </w:r>
      <w:r>
        <w:t>msd-and-our-work/publications-resources/research/children-and-families-research-</w:t>
      </w:r>
      <w:r>
        <w:rPr>
          <w:spacing w:val="1"/>
        </w:rPr>
        <w:t xml:space="preserve"> </w:t>
      </w:r>
      <w:r>
        <w:t>fund/children-and-families-research-fund-report-protective-factors-aces-april-2019-final.pdf</w:t>
      </w:r>
    </w:p>
    <w:p w14:paraId="6DF1AC2C" w14:textId="77777777" w:rsidR="002A14F8" w:rsidRDefault="002A14F8">
      <w:pPr>
        <w:pStyle w:val="BodyText"/>
        <w:spacing w:before="9"/>
        <w:rPr>
          <w:sz w:val="20"/>
        </w:rPr>
      </w:pPr>
    </w:p>
    <w:p w14:paraId="6B670187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08"/>
      </w:pPr>
      <w:r>
        <w:t>Munford R, Sanders J. Harm, opportunity, optimism: Young people’s negotiation of precarious</w:t>
      </w:r>
      <w:r>
        <w:rPr>
          <w:spacing w:val="-52"/>
        </w:rPr>
        <w:t xml:space="preserve"> </w:t>
      </w:r>
      <w:r>
        <w:t xml:space="preserve">circumstances. </w:t>
      </w:r>
      <w:r>
        <w:rPr>
          <w:i/>
        </w:rPr>
        <w:t>International Social Work</w:t>
      </w:r>
      <w:r>
        <w:t>. 2019;62(1):185-197.</w:t>
      </w:r>
      <w:r>
        <w:rPr>
          <w:spacing w:val="1"/>
        </w:rPr>
        <w:t xml:space="preserve"> </w:t>
      </w:r>
      <w:r>
        <w:t>doi:10.1</w:t>
      </w:r>
      <w:r>
        <w:t>177/0020872817717322</w:t>
      </w:r>
    </w:p>
    <w:p w14:paraId="69B28776" w14:textId="77777777" w:rsidR="002A14F8" w:rsidRDefault="002A14F8">
      <w:pPr>
        <w:pStyle w:val="BodyText"/>
        <w:rPr>
          <w:sz w:val="21"/>
        </w:rPr>
      </w:pPr>
    </w:p>
    <w:p w14:paraId="0103979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874"/>
      </w:pPr>
      <w:r>
        <w:t>Munford R, Sanders J. Shame and recognition: Social work practice with vulnerable young</w:t>
      </w:r>
      <w:r>
        <w:rPr>
          <w:spacing w:val="-52"/>
        </w:rPr>
        <w:t xml:space="preserve"> </w:t>
      </w:r>
      <w:r>
        <w:t>people.</w:t>
      </w:r>
      <w:r>
        <w:rPr>
          <w:spacing w:val="-1"/>
        </w:rPr>
        <w:t xml:space="preserve"> </w:t>
      </w:r>
      <w:r>
        <w:rPr>
          <w:i/>
        </w:rPr>
        <w:t>Child &amp;</w:t>
      </w:r>
      <w:r>
        <w:rPr>
          <w:i/>
          <w:spacing w:val="-6"/>
        </w:rPr>
        <w:t xml:space="preserve"> </w:t>
      </w:r>
      <w:r>
        <w:rPr>
          <w:i/>
        </w:rPr>
        <w:t>Family Social Work</w:t>
      </w:r>
      <w:r>
        <w:t>. 2020;25(1):53-61. doi:10.1111/cfs.12652</w:t>
      </w:r>
    </w:p>
    <w:p w14:paraId="01DBD1B4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6908A94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865"/>
      </w:pPr>
      <w:r>
        <w:lastRenderedPageBreak/>
        <w:t>Sanders J, Munford R, Boden J. The impact of the soc</w:t>
      </w:r>
      <w:r>
        <w:t>ial context on externalizing risks –</w:t>
      </w:r>
      <w:r>
        <w:rPr>
          <w:spacing w:val="1"/>
        </w:rPr>
        <w:t xml:space="preserve"> </w:t>
      </w:r>
      <w:r>
        <w:t xml:space="preserve">Implications for the delivery of programs to vulnerable youth. </w:t>
      </w:r>
      <w:r>
        <w:rPr>
          <w:i/>
        </w:rPr>
        <w:t>Children and Youth Services</w:t>
      </w:r>
      <w:r>
        <w:rPr>
          <w:i/>
          <w:spacing w:val="-52"/>
        </w:rPr>
        <w:t xml:space="preserve"> </w:t>
      </w:r>
      <w:r>
        <w:rPr>
          <w:i/>
        </w:rPr>
        <w:t>Review</w:t>
      </w:r>
      <w:r>
        <w:t>.</w:t>
      </w:r>
      <w:r>
        <w:rPr>
          <w:spacing w:val="-4"/>
        </w:rPr>
        <w:t xml:space="preserve"> </w:t>
      </w:r>
      <w:r>
        <w:t>2018;85:107-116. doi:10.1016/j.childyouth.2017.12.022</w:t>
      </w:r>
    </w:p>
    <w:p w14:paraId="0C53DC2F" w14:textId="77777777" w:rsidR="002A14F8" w:rsidRDefault="002A14F8">
      <w:pPr>
        <w:pStyle w:val="BodyText"/>
        <w:spacing w:before="10"/>
        <w:rPr>
          <w:sz w:val="20"/>
        </w:rPr>
      </w:pPr>
    </w:p>
    <w:p w14:paraId="08329CD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54"/>
      </w:pPr>
      <w:r>
        <w:t xml:space="preserve">Oranga Tamariki Evidence Centre. </w:t>
      </w:r>
      <w:r>
        <w:rPr>
          <w:i/>
        </w:rPr>
        <w:t>Young People’s Engagement in Remand Decisions:</w:t>
      </w:r>
      <w:r>
        <w:rPr>
          <w:i/>
          <w:spacing w:val="1"/>
        </w:rPr>
        <w:t xml:space="preserve"> </w:t>
      </w:r>
      <w:r>
        <w:rPr>
          <w:i/>
        </w:rPr>
        <w:t>Findings from a Research Study into What Drives Remand Decision Making in the Youth</w:t>
      </w:r>
      <w:r>
        <w:rPr>
          <w:i/>
          <w:spacing w:val="1"/>
        </w:rPr>
        <w:t xml:space="preserve"> </w:t>
      </w:r>
      <w:r>
        <w:rPr>
          <w:i/>
        </w:rPr>
        <w:t>Justice System</w:t>
      </w:r>
      <w:r>
        <w:t>.; 2018. https://</w:t>
      </w:r>
      <w:hyperlink r:id="rId37">
        <w:r>
          <w:t>www.orangatamariki.govt.nz/assets/Uploads/Young-Peoples-</w:t>
        </w:r>
      </w:hyperlink>
      <w:r>
        <w:rPr>
          <w:spacing w:val="-52"/>
        </w:rPr>
        <w:t xml:space="preserve"> </w:t>
      </w:r>
      <w:r>
        <w:t>Engagement-in-Remand-Decisions.pdf</w:t>
      </w:r>
    </w:p>
    <w:p w14:paraId="18B7AC90" w14:textId="77777777" w:rsidR="002A14F8" w:rsidRDefault="002A14F8">
      <w:pPr>
        <w:pStyle w:val="BodyText"/>
        <w:spacing w:before="11"/>
        <w:rPr>
          <w:sz w:val="20"/>
        </w:rPr>
      </w:pPr>
    </w:p>
    <w:p w14:paraId="5963DC97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173"/>
      </w:pPr>
      <w:r>
        <w:t xml:space="preserve">Deane K, Dutton H, Kerekere E. </w:t>
      </w:r>
      <w:r>
        <w:rPr>
          <w:i/>
        </w:rPr>
        <w:t>Ngā Tikanga Whānaketanga – He Arotake Tuhinga: A</w:t>
      </w:r>
      <w:r>
        <w:rPr>
          <w:i/>
          <w:spacing w:val="-52"/>
        </w:rPr>
        <w:t xml:space="preserve"> </w:t>
      </w:r>
      <w:r>
        <w:rPr>
          <w:i/>
        </w:rPr>
        <w:t>Review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Aotearoa New</w:t>
      </w:r>
      <w:r>
        <w:rPr>
          <w:i/>
          <w:spacing w:val="-1"/>
        </w:rPr>
        <w:t xml:space="preserve"> </w:t>
      </w:r>
      <w:r>
        <w:rPr>
          <w:i/>
        </w:rPr>
        <w:t>Zealand</w:t>
      </w:r>
      <w:r>
        <w:rPr>
          <w:i/>
          <w:spacing w:val="-3"/>
        </w:rPr>
        <w:t xml:space="preserve"> </w:t>
      </w:r>
      <w:r>
        <w:rPr>
          <w:i/>
        </w:rPr>
        <w:t>Youth Development</w:t>
      </w:r>
      <w:r>
        <w:rPr>
          <w:i/>
          <w:spacing w:val="-2"/>
        </w:rPr>
        <w:t xml:space="preserve"> </w:t>
      </w:r>
      <w:r>
        <w:rPr>
          <w:i/>
        </w:rPr>
        <w:t>Research</w:t>
      </w:r>
      <w:r>
        <w:t>.;</w:t>
      </w:r>
      <w:r>
        <w:rPr>
          <w:spacing w:val="1"/>
        </w:rPr>
        <w:t xml:space="preserve"> </w:t>
      </w:r>
      <w:r>
        <w:t>2</w:t>
      </w:r>
      <w:r>
        <w:t>019.</w:t>
      </w:r>
    </w:p>
    <w:p w14:paraId="6712633F" w14:textId="77777777" w:rsidR="002A14F8" w:rsidRDefault="002A14F8">
      <w:pPr>
        <w:pStyle w:val="BodyText"/>
        <w:spacing w:before="10"/>
        <w:rPr>
          <w:sz w:val="20"/>
        </w:rPr>
      </w:pPr>
    </w:p>
    <w:p w14:paraId="4776524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36"/>
      </w:pPr>
      <w:r>
        <w:t xml:space="preserve">Lifehack. </w:t>
      </w:r>
      <w:r>
        <w:rPr>
          <w:i/>
        </w:rPr>
        <w:t>Investigating Youth Civic Engagement in Aotearoa New Zealand: Voices of Young</w:t>
      </w:r>
      <w:r>
        <w:rPr>
          <w:i/>
          <w:spacing w:val="-52"/>
        </w:rPr>
        <w:t xml:space="preserve"> </w:t>
      </w:r>
      <w:r>
        <w:rPr>
          <w:i/>
        </w:rPr>
        <w:t>People</w:t>
      </w:r>
      <w:r>
        <w:t>.; 2015. https://lifehackhq.co/wp-content/uploads/2017/04/LifeHack-Youth-Civic-</w:t>
      </w:r>
      <w:r>
        <w:rPr>
          <w:spacing w:val="1"/>
        </w:rPr>
        <w:t xml:space="preserve"> </w:t>
      </w:r>
      <w:r>
        <w:t>Engagement_art-1.pdf</w:t>
      </w:r>
    </w:p>
    <w:p w14:paraId="213F91AA" w14:textId="77777777" w:rsidR="002A14F8" w:rsidRDefault="002A14F8">
      <w:pPr>
        <w:pStyle w:val="BodyText"/>
        <w:spacing w:before="10"/>
        <w:rPr>
          <w:sz w:val="20"/>
        </w:rPr>
      </w:pPr>
    </w:p>
    <w:p w14:paraId="1EC3E3C0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28"/>
      </w:pPr>
      <w:r w:rsidRPr="00967B86">
        <w:rPr>
          <w:lang w:val="fr-CA"/>
        </w:rPr>
        <w:t xml:space="preserve">Garisch J, Wilson M, Robinson K, et al. </w:t>
      </w:r>
      <w:r>
        <w:t>Adolescent wellbeing in Aotearoa New Zealand: The</w:t>
      </w:r>
      <w:r>
        <w:rPr>
          <w:spacing w:val="-52"/>
        </w:rPr>
        <w:t xml:space="preserve"> </w:t>
      </w:r>
      <w:r>
        <w:t xml:space="preserve">importance of school environment. </w:t>
      </w:r>
      <w:r>
        <w:rPr>
          <w:i/>
        </w:rPr>
        <w:t>Journal of the New Zealand Col</w:t>
      </w:r>
      <w:r>
        <w:rPr>
          <w:i/>
        </w:rPr>
        <w:t>lege of Clinical</w:t>
      </w:r>
      <w:r>
        <w:rPr>
          <w:i/>
          <w:spacing w:val="1"/>
        </w:rPr>
        <w:t xml:space="preserve"> </w:t>
      </w:r>
      <w:r>
        <w:rPr>
          <w:i/>
        </w:rPr>
        <w:t>Psychologists</w:t>
      </w:r>
      <w:r>
        <w:t>.</w:t>
      </w:r>
      <w:r>
        <w:rPr>
          <w:spacing w:val="-1"/>
        </w:rPr>
        <w:t xml:space="preserve"> </w:t>
      </w:r>
      <w:r>
        <w:t>2016;26(2):35-40.</w:t>
      </w:r>
    </w:p>
    <w:p w14:paraId="5C05110B" w14:textId="77777777" w:rsidR="002A14F8" w:rsidRDefault="002A14F8">
      <w:pPr>
        <w:pStyle w:val="BodyText"/>
        <w:spacing w:before="10"/>
        <w:rPr>
          <w:sz w:val="20"/>
        </w:rPr>
      </w:pPr>
    </w:p>
    <w:p w14:paraId="496BBA1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15"/>
      </w:pPr>
      <w:r>
        <w:t>Kljakovic M, Hunt C, Jose PE. Incidence of bullying and victimisation among adolescents in</w:t>
      </w:r>
      <w:r>
        <w:rPr>
          <w:spacing w:val="-52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Zealand.</w:t>
      </w:r>
      <w:r>
        <w:rPr>
          <w:spacing w:val="1"/>
        </w:rPr>
        <w:t xml:space="preserve"> </w:t>
      </w:r>
      <w:r>
        <w:rPr>
          <w:i/>
        </w:rPr>
        <w:t>New Zealand</w:t>
      </w:r>
      <w:r>
        <w:rPr>
          <w:i/>
          <w:spacing w:val="-3"/>
        </w:rPr>
        <w:t xml:space="preserve"> </w:t>
      </w:r>
      <w:r>
        <w:rPr>
          <w:i/>
        </w:rPr>
        <w:t>Journal of</w:t>
      </w:r>
      <w:r>
        <w:rPr>
          <w:i/>
          <w:spacing w:val="1"/>
        </w:rPr>
        <w:t xml:space="preserve"> </w:t>
      </w:r>
      <w:r>
        <w:rPr>
          <w:i/>
        </w:rPr>
        <w:t>Psychology</w:t>
      </w:r>
      <w:r>
        <w:t>.</w:t>
      </w:r>
      <w:r>
        <w:rPr>
          <w:spacing w:val="-3"/>
        </w:rPr>
        <w:t xml:space="preserve"> </w:t>
      </w:r>
      <w:r>
        <w:t>2015;44(2):11.</w:t>
      </w:r>
    </w:p>
    <w:p w14:paraId="44CF2886" w14:textId="77777777" w:rsidR="002A14F8" w:rsidRDefault="002A14F8">
      <w:pPr>
        <w:pStyle w:val="BodyText"/>
        <w:spacing w:before="10"/>
        <w:rPr>
          <w:sz w:val="20"/>
        </w:rPr>
      </w:pPr>
    </w:p>
    <w:p w14:paraId="5A52758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97"/>
      </w:pPr>
      <w:r>
        <w:t>Robinson K, Brocklesby M, Garisch JA, et al. Socioeconomic deprivation and non-suicidal</w:t>
      </w:r>
      <w:r>
        <w:rPr>
          <w:spacing w:val="1"/>
        </w:rPr>
        <w:t xml:space="preserve"> </w:t>
      </w:r>
      <w:r>
        <w:t xml:space="preserve">self- injury in New Zealand adolescents: The mediating role of depression and anxiety. </w:t>
      </w:r>
      <w:r>
        <w:rPr>
          <w:i/>
        </w:rPr>
        <w:t>New</w:t>
      </w:r>
      <w:r>
        <w:rPr>
          <w:i/>
          <w:spacing w:val="-52"/>
        </w:rPr>
        <w:t xml:space="preserve"> </w:t>
      </w:r>
      <w:r>
        <w:rPr>
          <w:i/>
        </w:rPr>
        <w:t>Zealand</w:t>
      </w:r>
      <w:r>
        <w:rPr>
          <w:i/>
          <w:spacing w:val="-1"/>
        </w:rPr>
        <w:t xml:space="preserve"> </w:t>
      </w: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Psychology</w:t>
      </w:r>
      <w:r>
        <w:t>. 2017;46(3):11.</w:t>
      </w:r>
    </w:p>
    <w:p w14:paraId="28743FAC" w14:textId="77777777" w:rsidR="002A14F8" w:rsidRDefault="002A14F8">
      <w:pPr>
        <w:pStyle w:val="BodyText"/>
        <w:spacing w:before="10"/>
        <w:rPr>
          <w:sz w:val="20"/>
        </w:rPr>
      </w:pPr>
    </w:p>
    <w:p w14:paraId="0EBB6BB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904"/>
      </w:pPr>
      <w:r>
        <w:t>Campbell S, Jasoni C, Longneck</w:t>
      </w:r>
      <w:r>
        <w:t>er N. Drinking patterns and attitudes about alcohol among</w:t>
      </w:r>
      <w:r>
        <w:rPr>
          <w:spacing w:val="-52"/>
        </w:rPr>
        <w:t xml:space="preserve"> </w:t>
      </w:r>
      <w:r>
        <w:t xml:space="preserve">New Zealand adolescents. </w:t>
      </w:r>
      <w:r>
        <w:rPr>
          <w:i/>
        </w:rPr>
        <w:t>Kōtuitui: New Zealand Journal of Social Sciences Online</w:t>
      </w:r>
      <w:r>
        <w:t>.</w:t>
      </w:r>
      <w:r>
        <w:rPr>
          <w:spacing w:val="1"/>
        </w:rPr>
        <w:t xml:space="preserve"> </w:t>
      </w:r>
      <w:r>
        <w:t>2019;14(2):276-289.</w:t>
      </w:r>
      <w:r>
        <w:rPr>
          <w:spacing w:val="-1"/>
        </w:rPr>
        <w:t xml:space="preserve"> </w:t>
      </w:r>
      <w:r>
        <w:t>doi:10.1080/1177083X.2019.1625934</w:t>
      </w:r>
    </w:p>
    <w:p w14:paraId="47206190" w14:textId="77777777" w:rsidR="002A14F8" w:rsidRDefault="002A14F8">
      <w:pPr>
        <w:pStyle w:val="BodyText"/>
        <w:spacing w:before="10"/>
        <w:rPr>
          <w:sz w:val="20"/>
        </w:rPr>
      </w:pPr>
    </w:p>
    <w:p w14:paraId="404BA47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941"/>
      </w:pPr>
      <w:r>
        <w:t>Alesech J, Nayar S. Teacher strategies for promoting acceptan</w:t>
      </w:r>
      <w:r>
        <w:t>ce and belonging in the</w:t>
      </w:r>
      <w:r>
        <w:rPr>
          <w:spacing w:val="1"/>
        </w:rPr>
        <w:t xml:space="preserve"> </w:t>
      </w:r>
      <w:r>
        <w:t xml:space="preserve">classroom: A New Zealand study. </w:t>
      </w:r>
      <w:r>
        <w:rPr>
          <w:i/>
        </w:rPr>
        <w:t>International Journal of Inclusive Education</w:t>
      </w:r>
      <w:r>
        <w:t>. Published</w:t>
      </w:r>
      <w:r>
        <w:rPr>
          <w:spacing w:val="-52"/>
        </w:rPr>
        <w:t xml:space="preserve"> </w:t>
      </w:r>
      <w:r>
        <w:t>online</w:t>
      </w:r>
      <w:r>
        <w:rPr>
          <w:spacing w:val="-1"/>
        </w:rPr>
        <w:t xml:space="preserve"> </w:t>
      </w:r>
      <w:r>
        <w:t>April</w:t>
      </w:r>
      <w:r>
        <w:rPr>
          <w:spacing w:val="-2"/>
        </w:rPr>
        <w:t xml:space="preserve"> </w:t>
      </w:r>
      <w:r>
        <w:t>3, 2019:1-17. doi:10.1080/13603116.2019.1600054</w:t>
      </w:r>
    </w:p>
    <w:p w14:paraId="30F1F45A" w14:textId="77777777" w:rsidR="002A14F8" w:rsidRDefault="002A14F8">
      <w:pPr>
        <w:pStyle w:val="BodyText"/>
        <w:rPr>
          <w:sz w:val="21"/>
        </w:rPr>
      </w:pPr>
    </w:p>
    <w:p w14:paraId="4D37E93A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86"/>
      </w:pPr>
      <w:r>
        <w:t>Fisher</w:t>
      </w:r>
      <w:r>
        <w:rPr>
          <w:spacing w:val="-4"/>
        </w:rPr>
        <w:t xml:space="preserve"> </w:t>
      </w:r>
      <w:r>
        <w:t>K,</w:t>
      </w:r>
      <w:r>
        <w:rPr>
          <w:spacing w:val="-1"/>
        </w:rPr>
        <w:t xml:space="preserve"> </w:t>
      </w:r>
      <w:r>
        <w:t>Fitzgerald</w:t>
      </w:r>
      <w:r>
        <w:rPr>
          <w:spacing w:val="-5"/>
        </w:rPr>
        <w:t xml:space="preserve"> </w:t>
      </w:r>
      <w:r>
        <w:t>J,</w:t>
      </w:r>
      <w:r>
        <w:rPr>
          <w:spacing w:val="-3"/>
        </w:rPr>
        <w:t xml:space="preserve"> </w:t>
      </w:r>
      <w:r>
        <w:t>Tuffin</w:t>
      </w:r>
      <w:r>
        <w:rPr>
          <w:spacing w:val="-4"/>
        </w:rPr>
        <w:t xml:space="preserve"> </w:t>
      </w:r>
      <w:r>
        <w:t>K.</w:t>
      </w:r>
      <w:r>
        <w:rPr>
          <w:spacing w:val="-2"/>
        </w:rPr>
        <w:t xml:space="preserve"> </w:t>
      </w:r>
      <w:r>
        <w:t>Peer</w:t>
      </w:r>
      <w:r>
        <w:rPr>
          <w:spacing w:val="-1"/>
        </w:rPr>
        <w:t xml:space="preserve"> </w:t>
      </w:r>
      <w:r>
        <w:t>Responses</w:t>
      </w:r>
      <w:r>
        <w:rPr>
          <w:spacing w:val="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Non-Suicidal</w:t>
      </w:r>
      <w:r>
        <w:rPr>
          <w:spacing w:val="-1"/>
        </w:rPr>
        <w:t xml:space="preserve"> </w:t>
      </w:r>
      <w:r>
        <w:t>Self-Injury: Young</w:t>
      </w:r>
      <w:r>
        <w:rPr>
          <w:spacing w:val="-5"/>
        </w:rPr>
        <w:t xml:space="preserve"> </w:t>
      </w:r>
      <w:r>
        <w:t>Women</w:t>
      </w:r>
      <w:r>
        <w:rPr>
          <w:spacing w:val="-52"/>
        </w:rPr>
        <w:t xml:space="preserve"> </w:t>
      </w:r>
      <w:r>
        <w:t xml:space="preserve">Speak About the Complexity of the Support-Provider Role. </w:t>
      </w:r>
      <w:r>
        <w:rPr>
          <w:i/>
        </w:rPr>
        <w:t>New Zealand Journal of</w:t>
      </w:r>
      <w:r>
        <w:rPr>
          <w:i/>
          <w:spacing w:val="1"/>
        </w:rPr>
        <w:t xml:space="preserve"> </w:t>
      </w:r>
      <w:r>
        <w:rPr>
          <w:i/>
        </w:rPr>
        <w:t>Psychology</w:t>
      </w:r>
      <w:r>
        <w:t>.</w:t>
      </w:r>
      <w:r>
        <w:rPr>
          <w:spacing w:val="-1"/>
        </w:rPr>
        <w:t xml:space="preserve"> </w:t>
      </w:r>
      <w:r>
        <w:t>2017;46(3):10.</w:t>
      </w:r>
    </w:p>
    <w:p w14:paraId="74FB2950" w14:textId="77777777" w:rsidR="002A14F8" w:rsidRDefault="002A14F8">
      <w:pPr>
        <w:pStyle w:val="BodyText"/>
        <w:spacing w:before="9"/>
        <w:rPr>
          <w:sz w:val="20"/>
        </w:rPr>
      </w:pPr>
    </w:p>
    <w:p w14:paraId="626CDAB2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553"/>
      </w:pPr>
      <w:r>
        <w:t>Heaslip L. Stories of resilience: Supporting young women to thrive at secondary school.</w:t>
      </w:r>
      <w:r>
        <w:rPr>
          <w:spacing w:val="1"/>
        </w:rPr>
        <w:t xml:space="preserve"> </w:t>
      </w:r>
      <w:r>
        <w:t>Published online 2019.</w:t>
      </w:r>
      <w:r>
        <w:rPr>
          <w:spacing w:val="1"/>
        </w:rPr>
        <w:t xml:space="preserve"> </w:t>
      </w:r>
      <w:r>
        <w:rPr>
          <w:spacing w:val="-1"/>
        </w:rPr>
        <w:t>https://unitec.researchbank.ac.nz/bitstream/handle/10652/4736/MAP_Laraine%20Heaslip_201</w:t>
      </w:r>
      <w:r>
        <w:t xml:space="preserve"> 9.pdf?sequence=1&amp;isAllowed=y</w:t>
      </w:r>
    </w:p>
    <w:p w14:paraId="050EC997" w14:textId="77777777" w:rsidR="002A14F8" w:rsidRDefault="002A14F8">
      <w:pPr>
        <w:pStyle w:val="BodyText"/>
        <w:spacing w:before="8"/>
        <w:rPr>
          <w:sz w:val="20"/>
        </w:rPr>
      </w:pPr>
    </w:p>
    <w:p w14:paraId="2358610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39"/>
      </w:pPr>
      <w:r>
        <w:t>Kwek CY. I want to be emplo</w:t>
      </w:r>
      <w:r>
        <w:t>yable! Constructions of employability from university students</w:t>
      </w:r>
      <w:r>
        <w:rPr>
          <w:spacing w:val="1"/>
        </w:rPr>
        <w:t xml:space="preserve"> </w:t>
      </w:r>
      <w:r>
        <w:t>and recent graduates in New Zealand. Published online 2018.</w:t>
      </w:r>
      <w:r>
        <w:rPr>
          <w:spacing w:val="1"/>
        </w:rPr>
        <w:t xml:space="preserve"> </w:t>
      </w:r>
      <w:r>
        <w:rPr>
          <w:spacing w:val="-1"/>
        </w:rPr>
        <w:t>https://researchcommons.waikato.ac.nz/bitstream/handle/10289/12321/thesis.pdf?sequence=4</w:t>
      </w:r>
      <w:r>
        <w:t xml:space="preserve"> &amp;isAllowed=y</w:t>
      </w:r>
    </w:p>
    <w:p w14:paraId="108FF63C" w14:textId="77777777" w:rsidR="002A14F8" w:rsidRDefault="002A14F8">
      <w:pPr>
        <w:pStyle w:val="BodyText"/>
        <w:rPr>
          <w:sz w:val="21"/>
        </w:rPr>
      </w:pPr>
    </w:p>
    <w:p w14:paraId="7DE60C5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64"/>
      </w:pPr>
      <w:r>
        <w:t>Sanders J, Munford R, Thimasar</w:t>
      </w:r>
      <w:r>
        <w:t>n-Anwar T. Staying on-track despite the odds: Factors that</w:t>
      </w:r>
      <w:r>
        <w:rPr>
          <w:spacing w:val="-52"/>
        </w:rPr>
        <w:t xml:space="preserve"> </w:t>
      </w:r>
      <w:r>
        <w:t xml:space="preserve">assist young people facing adversity to continue with their education. </w:t>
      </w:r>
      <w:r>
        <w:rPr>
          <w:i/>
        </w:rPr>
        <w:t>Br Educ Res J</w:t>
      </w:r>
      <w:r>
        <w:t>.</w:t>
      </w:r>
      <w:r>
        <w:rPr>
          <w:spacing w:val="1"/>
        </w:rPr>
        <w:t xml:space="preserve"> </w:t>
      </w:r>
      <w:r>
        <w:t>2016;42(1):56-73.</w:t>
      </w:r>
      <w:r>
        <w:rPr>
          <w:spacing w:val="-1"/>
        </w:rPr>
        <w:t xml:space="preserve"> </w:t>
      </w:r>
      <w:r>
        <w:t>doi:10.1002/berj.3202</w:t>
      </w:r>
    </w:p>
    <w:p w14:paraId="7D74A724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7F3D172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734"/>
      </w:pPr>
      <w:r>
        <w:lastRenderedPageBreak/>
        <w:t xml:space="preserve">Office of Film &amp; Literature Classification. </w:t>
      </w:r>
      <w:r>
        <w:rPr>
          <w:i/>
        </w:rPr>
        <w:t>Young New</w:t>
      </w:r>
      <w:r>
        <w:rPr>
          <w:i/>
        </w:rPr>
        <w:t xml:space="preserve"> Zealanders Viewing Sexual Violence-</w:t>
      </w:r>
      <w:r>
        <w:rPr>
          <w:i/>
          <w:spacing w:val="-52"/>
        </w:rPr>
        <w:t xml:space="preserve"> </w:t>
      </w:r>
      <w:r>
        <w:rPr>
          <w:i/>
        </w:rPr>
        <w:t>Interviews with Young New Zealanders</w:t>
      </w:r>
      <w:r>
        <w:t>.; 2017. Accessed February 5, 2020.</w:t>
      </w:r>
      <w:r>
        <w:rPr>
          <w:spacing w:val="1"/>
        </w:rPr>
        <w:t xml:space="preserve"> </w:t>
      </w:r>
      <w:r>
        <w:t>https://</w:t>
      </w:r>
      <w:hyperlink r:id="rId38">
        <w:r>
          <w:t>www.classificationoffice.govt.nz/asset</w:t>
        </w:r>
        <w:r>
          <w:t>s/PDFs/report-yp-sv-stage-3-2017.pdf</w:t>
        </w:r>
      </w:hyperlink>
    </w:p>
    <w:p w14:paraId="65AEE001" w14:textId="77777777" w:rsidR="002A14F8" w:rsidRDefault="002A14F8">
      <w:pPr>
        <w:pStyle w:val="BodyText"/>
        <w:spacing w:before="10"/>
        <w:rPr>
          <w:sz w:val="20"/>
        </w:rPr>
      </w:pPr>
    </w:p>
    <w:p w14:paraId="00D46B4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28"/>
      </w:pPr>
      <w:r>
        <w:t>Dewhurst K, Munford R, Sanders J. Making a claim for services: Supporting young people’s</w:t>
      </w:r>
      <w:r>
        <w:rPr>
          <w:spacing w:val="-53"/>
        </w:rPr>
        <w:t xml:space="preserve"> </w:t>
      </w:r>
      <w:r>
        <w:t>engagement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services.</w:t>
      </w:r>
      <w:r>
        <w:rPr>
          <w:spacing w:val="-2"/>
        </w:rPr>
        <w:t xml:space="preserve"> </w:t>
      </w:r>
      <w:r>
        <w:rPr>
          <w:i/>
        </w:rPr>
        <w:t>ANZSWJ</w:t>
      </w:r>
      <w:r>
        <w:t>.</w:t>
      </w:r>
      <w:r>
        <w:rPr>
          <w:spacing w:val="-2"/>
        </w:rPr>
        <w:t xml:space="preserve"> </w:t>
      </w:r>
      <w:r>
        <w:t>2017;29(1):4.</w:t>
      </w:r>
      <w:r>
        <w:rPr>
          <w:spacing w:val="-1"/>
        </w:rPr>
        <w:t xml:space="preserve"> </w:t>
      </w:r>
      <w:r>
        <w:t>doi:10.11157/anzswj-vol29iss1id233</w:t>
      </w:r>
    </w:p>
    <w:p w14:paraId="7024E96B" w14:textId="77777777" w:rsidR="002A14F8" w:rsidRDefault="002A14F8">
      <w:pPr>
        <w:pStyle w:val="BodyText"/>
        <w:spacing w:before="10"/>
        <w:rPr>
          <w:sz w:val="20"/>
        </w:rPr>
      </w:pPr>
    </w:p>
    <w:p w14:paraId="531BB185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50"/>
      </w:pPr>
      <w:r>
        <w:t>Bowden L. The contribution of occupation to children’s experience of resilience. Published</w:t>
      </w:r>
      <w:r>
        <w:rPr>
          <w:spacing w:val="1"/>
        </w:rPr>
        <w:t xml:space="preserve"> </w:t>
      </w:r>
      <w:r>
        <w:t>online 2017.</w:t>
      </w:r>
      <w:r>
        <w:rPr>
          <w:spacing w:val="1"/>
        </w:rPr>
        <w:t xml:space="preserve"> </w:t>
      </w:r>
      <w:r>
        <w:rPr>
          <w:spacing w:val="-1"/>
        </w:rPr>
        <w:t>https://openrepository.aut.ac.nz/bitstream/handle/10292/10542/BowdenL.pdf?sequence=3&amp;is</w:t>
      </w:r>
      <w:r>
        <w:t xml:space="preserve"> Allowed=y</w:t>
      </w:r>
    </w:p>
    <w:p w14:paraId="6876263D" w14:textId="77777777" w:rsidR="002A14F8" w:rsidRDefault="002A14F8">
      <w:pPr>
        <w:pStyle w:val="BodyText"/>
        <w:rPr>
          <w:sz w:val="21"/>
        </w:rPr>
      </w:pPr>
    </w:p>
    <w:p w14:paraId="17A5D3B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13"/>
      </w:pPr>
      <w:r>
        <w:t xml:space="preserve">Office of the Children’s Commissioner. </w:t>
      </w:r>
      <w:r>
        <w:rPr>
          <w:i/>
        </w:rPr>
        <w:t>A Hard Place t</w:t>
      </w:r>
      <w:r>
        <w:rPr>
          <w:i/>
        </w:rPr>
        <w:t>o Be Happy: Voices of Children and</w:t>
      </w:r>
      <w:r>
        <w:rPr>
          <w:i/>
          <w:spacing w:val="-52"/>
        </w:rPr>
        <w:t xml:space="preserve"> </w:t>
      </w:r>
      <w:r>
        <w:rPr>
          <w:i/>
        </w:rPr>
        <w:t>Young People in Care and Protection Residences</w:t>
      </w:r>
      <w:r>
        <w:t>.; 2019. Accessed February 5, 2020.</w:t>
      </w:r>
      <w:r>
        <w:rPr>
          <w:spacing w:val="1"/>
        </w:rPr>
        <w:t xml:space="preserve"> </w:t>
      </w:r>
      <w:r>
        <w:t>https://</w:t>
      </w:r>
      <w:hyperlink r:id="rId39">
        <w:r>
          <w:t>www.occ.org.nz/assets/Uploads/HardPlaceToBeHap</w:t>
        </w:r>
        <w:r>
          <w:t>py-FINAL.pdf</w:t>
        </w:r>
      </w:hyperlink>
    </w:p>
    <w:p w14:paraId="4FB8005A" w14:textId="77777777" w:rsidR="002A14F8" w:rsidRDefault="002A14F8">
      <w:pPr>
        <w:pStyle w:val="BodyText"/>
        <w:spacing w:before="10"/>
        <w:rPr>
          <w:sz w:val="20"/>
        </w:rPr>
      </w:pPr>
    </w:p>
    <w:p w14:paraId="60F2539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284"/>
      </w:pPr>
      <w:r>
        <w:t>IHC New Zealand. Submissions. IHC. Published 2020. Accessed September 11, 2020.</w:t>
      </w:r>
      <w:r>
        <w:rPr>
          <w:spacing w:val="-52"/>
        </w:rPr>
        <w:t xml:space="preserve"> </w:t>
      </w:r>
      <w:r>
        <w:t>https://ihc.org.nz/advocacy/submissions</w:t>
      </w:r>
    </w:p>
    <w:p w14:paraId="4B7E7C7C" w14:textId="77777777" w:rsidR="002A14F8" w:rsidRDefault="002A14F8">
      <w:pPr>
        <w:pStyle w:val="BodyText"/>
        <w:spacing w:before="10"/>
        <w:rPr>
          <w:sz w:val="20"/>
        </w:rPr>
      </w:pPr>
    </w:p>
    <w:p w14:paraId="4E7A81B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398"/>
      </w:pPr>
      <w:r>
        <w:t>Submissions. CCS Disability Action. Published 2020. Accessed September 11, 2020.</w:t>
      </w:r>
      <w:r>
        <w:rPr>
          <w:spacing w:val="-52"/>
        </w:rPr>
        <w:t xml:space="preserve"> </w:t>
      </w:r>
      <w:r>
        <w:t>https://</w:t>
      </w:r>
      <w:hyperlink r:id="rId40">
        <w:r>
          <w:t>www.ccsdisabilityaction.org.nz/advocacy/submissions/</w:t>
        </w:r>
      </w:hyperlink>
    </w:p>
    <w:p w14:paraId="4CCEBC5E" w14:textId="77777777" w:rsidR="002A14F8" w:rsidRDefault="002A14F8">
      <w:pPr>
        <w:pStyle w:val="BodyText"/>
        <w:spacing w:before="11"/>
        <w:rPr>
          <w:sz w:val="20"/>
        </w:rPr>
      </w:pPr>
    </w:p>
    <w:p w14:paraId="321D442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25"/>
      </w:pPr>
      <w:r>
        <w:t xml:space="preserve">New Zealand Health and Disability </w:t>
      </w:r>
      <w:r>
        <w:t xml:space="preserve">System Review. </w:t>
      </w:r>
      <w:r>
        <w:rPr>
          <w:i/>
        </w:rPr>
        <w:t>Health and Disability System Review:</w:t>
      </w:r>
      <w:r>
        <w:rPr>
          <w:i/>
          <w:spacing w:val="1"/>
        </w:rPr>
        <w:t xml:space="preserve"> </w:t>
      </w:r>
      <w:r>
        <w:rPr>
          <w:i/>
        </w:rPr>
        <w:t>Interim Report. Hauora Manaaki Ki Aotearoa Whānui: Pūrongo Mō Tēnei Wā</w:t>
      </w:r>
      <w:r>
        <w:t>.; 2019.</w:t>
      </w:r>
      <w:r>
        <w:rPr>
          <w:spacing w:val="1"/>
        </w:rPr>
        <w:t xml:space="preserve"> </w:t>
      </w:r>
      <w:r>
        <w:rPr>
          <w:spacing w:val="-1"/>
        </w:rPr>
        <w:t>https://systemreview.health.govt.nz/assets/HDSR-interim-report/5b33db77f5/H-and-D-full-</w:t>
      </w:r>
      <w:r>
        <w:t xml:space="preserve"> interim-report-August-2019.pdf</w:t>
      </w:r>
    </w:p>
    <w:p w14:paraId="27CC7C7D" w14:textId="77777777" w:rsidR="002A14F8" w:rsidRDefault="002A14F8">
      <w:pPr>
        <w:pStyle w:val="BodyText"/>
        <w:spacing w:before="8"/>
        <w:rPr>
          <w:sz w:val="20"/>
        </w:rPr>
      </w:pPr>
    </w:p>
    <w:p w14:paraId="6AD0859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44"/>
      </w:pPr>
      <w:r>
        <w:t>Fuama</w:t>
      </w:r>
      <w:r>
        <w:t>tu N. Quality of Life: A Phenomenological study of the experiences of Samoans with a</w:t>
      </w:r>
      <w:r>
        <w:rPr>
          <w:spacing w:val="-52"/>
        </w:rPr>
        <w:t xml:space="preserve"> </w:t>
      </w:r>
      <w:r>
        <w:t>disability in Auckland, Aotearoa New Zealand. Published online June 18, 2019.</w:t>
      </w:r>
      <w:r>
        <w:rPr>
          <w:spacing w:val="1"/>
        </w:rPr>
        <w:t xml:space="preserve"> </w:t>
      </w:r>
      <w:r>
        <w:t>doi:10.26180/5d084b33edee2</w:t>
      </w:r>
    </w:p>
    <w:p w14:paraId="5CA235A4" w14:textId="77777777" w:rsidR="002A14F8" w:rsidRDefault="002A14F8">
      <w:pPr>
        <w:pStyle w:val="BodyText"/>
        <w:spacing w:before="10"/>
        <w:rPr>
          <w:sz w:val="20"/>
        </w:rPr>
      </w:pPr>
    </w:p>
    <w:p w14:paraId="55F0C68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5"/>
        </w:tabs>
        <w:ind w:right="766"/>
        <w:jc w:val="both"/>
      </w:pPr>
      <w:r>
        <w:t>Eden-Mann P. Submission on the Carers’ Strategy Action Plan 2019-</w:t>
      </w:r>
      <w:r>
        <w:t>2023. Published online</w:t>
      </w:r>
      <w:r>
        <w:rPr>
          <w:spacing w:val="-52"/>
        </w:rPr>
        <w:t xml:space="preserve"> </w:t>
      </w:r>
      <w:r>
        <w:t>July 19, 2019. https://</w:t>
      </w:r>
      <w:hyperlink r:id="rId41">
        <w:r>
          <w:t>www.ccsdisabilityaction.org.nz/news-and-views/news/carers-strategy-</w:t>
        </w:r>
      </w:hyperlink>
      <w:r>
        <w:rPr>
          <w:spacing w:val="-52"/>
        </w:rPr>
        <w:t xml:space="preserve"> </w:t>
      </w:r>
      <w:r>
        <w:t>action-plan/</w:t>
      </w:r>
    </w:p>
    <w:p w14:paraId="10FDA6E7" w14:textId="77777777" w:rsidR="002A14F8" w:rsidRDefault="002A14F8">
      <w:pPr>
        <w:pStyle w:val="BodyText"/>
        <w:rPr>
          <w:sz w:val="21"/>
        </w:rPr>
      </w:pPr>
    </w:p>
    <w:p w14:paraId="6DF8AEA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1232"/>
      </w:pPr>
      <w:r>
        <w:t>Peiris-John R, Ameratunga S, Lee A</w:t>
      </w:r>
      <w:r>
        <w:t>, Al-Ani H, Fleming T, Clark T. Adolescents with</w:t>
      </w:r>
      <w:r>
        <w:rPr>
          <w:spacing w:val="-52"/>
        </w:rPr>
        <w:t xml:space="preserve"> </w:t>
      </w:r>
      <w:r>
        <w:t>disability</w:t>
      </w:r>
      <w:r>
        <w:rPr>
          <w:spacing w:val="-5"/>
        </w:rPr>
        <w:t xml:space="preserve"> </w:t>
      </w:r>
      <w:r>
        <w:t>report higher</w:t>
      </w:r>
      <w:r>
        <w:rPr>
          <w:spacing w:val="-1"/>
        </w:rPr>
        <w:t xml:space="preserve"> </w:t>
      </w:r>
      <w:r>
        <w:t>rates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injury</w:t>
      </w:r>
      <w:r>
        <w:rPr>
          <w:spacing w:val="-5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lower</w:t>
      </w:r>
      <w:r>
        <w:rPr>
          <w:spacing w:val="-2"/>
        </w:rPr>
        <w:t xml:space="preserve"> </w:t>
      </w:r>
      <w:r>
        <w:t>rates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receiving</w:t>
      </w:r>
      <w:r>
        <w:rPr>
          <w:spacing w:val="-5"/>
        </w:rPr>
        <w:t xml:space="preserve"> </w:t>
      </w:r>
      <w:r>
        <w:t>care: findings</w:t>
      </w:r>
      <w:r>
        <w:rPr>
          <w:spacing w:val="-1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 xml:space="preserve">national school-based survey in New Zealand. </w:t>
      </w:r>
      <w:r>
        <w:rPr>
          <w:i/>
        </w:rPr>
        <w:t>Injury Prevention</w:t>
      </w:r>
      <w:r>
        <w:t>. 2016;22(1):40-45.</w:t>
      </w:r>
      <w:r>
        <w:rPr>
          <w:spacing w:val="1"/>
        </w:rPr>
        <w:t xml:space="preserve"> </w:t>
      </w:r>
      <w:r>
        <w:t>doi:10.1136/injuryprev-2015-041636</w:t>
      </w:r>
    </w:p>
    <w:p w14:paraId="78521CFA" w14:textId="77777777" w:rsidR="002A14F8" w:rsidRDefault="002A14F8">
      <w:pPr>
        <w:pStyle w:val="BodyText"/>
        <w:spacing w:before="8"/>
        <w:rPr>
          <w:sz w:val="20"/>
        </w:rPr>
      </w:pPr>
    </w:p>
    <w:p w14:paraId="012EA606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55"/>
      </w:pPr>
      <w:r>
        <w:t xml:space="preserve">Ministry of Social Development, New Zealand Carers Alliance. </w:t>
      </w:r>
      <w:r>
        <w:rPr>
          <w:i/>
        </w:rPr>
        <w:t>Carers’ Strategy Action Plan</w:t>
      </w:r>
      <w:r>
        <w:rPr>
          <w:i/>
          <w:spacing w:val="-52"/>
        </w:rPr>
        <w:t xml:space="preserve"> </w:t>
      </w:r>
      <w:r>
        <w:rPr>
          <w:i/>
        </w:rPr>
        <w:t>2019–2023</w:t>
      </w:r>
      <w:r>
        <w:t>.; 2019. https://</w:t>
      </w:r>
      <w:hyperlink r:id="rId42">
        <w:r>
          <w:t>www.msd.govt.nz/documen</w:t>
        </w:r>
        <w:r>
          <w:t>ts/about-msd-and-our-work/work-</w:t>
        </w:r>
      </w:hyperlink>
      <w:r>
        <w:rPr>
          <w:spacing w:val="1"/>
        </w:rPr>
        <w:t xml:space="preserve"> </w:t>
      </w:r>
      <w:r>
        <w:t>programmes/policy-development/carers-strategy/carers-strategy-action-plan-2019-2023.pdf</w:t>
      </w:r>
    </w:p>
    <w:p w14:paraId="75A3E9C0" w14:textId="77777777" w:rsidR="002A14F8" w:rsidRDefault="002A14F8">
      <w:pPr>
        <w:pStyle w:val="BodyText"/>
        <w:spacing w:before="9"/>
        <w:rPr>
          <w:sz w:val="20"/>
        </w:rPr>
      </w:pPr>
    </w:p>
    <w:p w14:paraId="2C4B6616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5"/>
        </w:tabs>
        <w:spacing w:before="1"/>
        <w:ind w:right="835"/>
        <w:jc w:val="both"/>
      </w:pPr>
      <w:r>
        <w:t xml:space="preserve">Human Rights Commission. </w:t>
      </w:r>
      <w:r>
        <w:rPr>
          <w:i/>
        </w:rPr>
        <w:t>Better Design and Buildings for Everyone: Disabled People’s</w:t>
      </w:r>
      <w:r>
        <w:rPr>
          <w:i/>
          <w:spacing w:val="1"/>
        </w:rPr>
        <w:t xml:space="preserve"> </w:t>
      </w:r>
      <w:r>
        <w:rPr>
          <w:i/>
        </w:rPr>
        <w:t>Rights and the Built Environment</w:t>
      </w:r>
      <w:r>
        <w:t>.; 2012. https://</w:t>
      </w:r>
      <w:hyperlink r:id="rId43">
        <w:r>
          <w:t>www.hrc.co.nz/files/4314/2397/6079/web-</w:t>
        </w:r>
      </w:hyperlink>
      <w:r>
        <w:rPr>
          <w:spacing w:val="-52"/>
        </w:rPr>
        <w:t xml:space="preserve"> </w:t>
      </w:r>
      <w:r>
        <w:t>Builtenv.pdf</w:t>
      </w:r>
    </w:p>
    <w:p w14:paraId="63981841" w14:textId="77777777" w:rsidR="002A14F8" w:rsidRDefault="002A14F8">
      <w:pPr>
        <w:pStyle w:val="BodyText"/>
        <w:rPr>
          <w:sz w:val="21"/>
        </w:rPr>
      </w:pPr>
    </w:p>
    <w:p w14:paraId="5CE773A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912"/>
      </w:pPr>
      <w:r>
        <w:t>Perry MA, Devan H, Fitzgera</w:t>
      </w:r>
      <w:r>
        <w:t>ld H, Han K, Liu L-T, Rouse J. Accessibility and usability of</w:t>
      </w:r>
      <w:r>
        <w:rPr>
          <w:spacing w:val="-52"/>
        </w:rPr>
        <w:t xml:space="preserve"> </w:t>
      </w:r>
      <w:r>
        <w:t xml:space="preserve">parks and playgrounds. </w:t>
      </w:r>
      <w:r>
        <w:rPr>
          <w:i/>
        </w:rPr>
        <w:t>Disability and Health Journal</w:t>
      </w:r>
      <w:r>
        <w:t>. 2018;11(2):221-229.</w:t>
      </w:r>
      <w:r>
        <w:rPr>
          <w:spacing w:val="1"/>
        </w:rPr>
        <w:t xml:space="preserve"> </w:t>
      </w:r>
      <w:r>
        <w:t>doi:10.1016/j.dhjo.2017.08.011</w:t>
      </w:r>
    </w:p>
    <w:p w14:paraId="364C4859" w14:textId="77777777" w:rsidR="002A14F8" w:rsidRDefault="002A14F8">
      <w:pPr>
        <w:pStyle w:val="BodyText"/>
        <w:spacing w:before="9"/>
        <w:rPr>
          <w:sz w:val="20"/>
        </w:rPr>
      </w:pPr>
    </w:p>
    <w:p w14:paraId="27805C25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88"/>
      </w:pPr>
      <w:r>
        <w:t xml:space="preserve">Human Rights Commission. </w:t>
      </w:r>
      <w:r>
        <w:rPr>
          <w:i/>
        </w:rPr>
        <w:t>Better Information for Everyone: Disabled People’s Rights in th</w:t>
      </w:r>
      <w:r>
        <w:rPr>
          <w:i/>
        </w:rPr>
        <w:t>e</w:t>
      </w:r>
      <w:r>
        <w:rPr>
          <w:i/>
          <w:spacing w:val="-52"/>
        </w:rPr>
        <w:t xml:space="preserve"> </w:t>
      </w:r>
      <w:r>
        <w:rPr>
          <w:i/>
        </w:rPr>
        <w:t>Information</w:t>
      </w:r>
      <w:r>
        <w:rPr>
          <w:i/>
          <w:spacing w:val="-2"/>
        </w:rPr>
        <w:t xml:space="preserve"> </w:t>
      </w:r>
      <w:r>
        <w:rPr>
          <w:i/>
        </w:rPr>
        <w:t>Age</w:t>
      </w:r>
      <w:r>
        <w:t>.; 2012.</w:t>
      </w:r>
      <w:r>
        <w:rPr>
          <w:spacing w:val="-1"/>
        </w:rPr>
        <w:t xml:space="preserve"> </w:t>
      </w:r>
      <w:r>
        <w:t>https://</w:t>
      </w:r>
      <w:hyperlink r:id="rId44">
        <w:r>
          <w:t>www.hrc.co.nz/files/9414/2397/6962/web-Access.pdf</w:t>
        </w:r>
      </w:hyperlink>
    </w:p>
    <w:p w14:paraId="025BBACE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141A2FA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560"/>
      </w:pPr>
      <w:r>
        <w:lastRenderedPageBreak/>
        <w:t xml:space="preserve">Human Rights Commission. </w:t>
      </w:r>
      <w:r>
        <w:rPr>
          <w:i/>
        </w:rPr>
        <w:t>Political Participation for Everyone: Disabled People’s Rights</w:t>
      </w:r>
      <w:r>
        <w:rPr>
          <w:i/>
          <w:spacing w:val="1"/>
        </w:rPr>
        <w:t xml:space="preserve"> </w:t>
      </w:r>
      <w:r>
        <w:rPr>
          <w:i/>
        </w:rPr>
        <w:t>and the Political Process</w:t>
      </w:r>
      <w:r>
        <w:t>.; 2012.</w:t>
      </w:r>
      <w:r>
        <w:rPr>
          <w:spacing w:val="1"/>
        </w:rPr>
        <w:t xml:space="preserve"> </w:t>
      </w:r>
      <w:r>
        <w:rPr>
          <w:spacing w:val="-1"/>
        </w:rPr>
        <w:t>https://eaccess.s3.amazonaws.com/media/attachments/resources_publication/13/Political%20P</w:t>
      </w:r>
      <w:r>
        <w:t xml:space="preserve"> articipation%20for%20Everyone.pdf</w:t>
      </w:r>
    </w:p>
    <w:p w14:paraId="4BA1EF35" w14:textId="77777777" w:rsidR="002A14F8" w:rsidRDefault="002A14F8">
      <w:pPr>
        <w:pStyle w:val="BodyText"/>
        <w:rPr>
          <w:sz w:val="21"/>
        </w:rPr>
      </w:pPr>
    </w:p>
    <w:p w14:paraId="1E62AC2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888"/>
      </w:pPr>
      <w:r>
        <w:t xml:space="preserve">Sport New Zealand. </w:t>
      </w:r>
      <w:r>
        <w:rPr>
          <w:i/>
        </w:rPr>
        <w:t>Disability Plan</w:t>
      </w:r>
      <w:r>
        <w:rPr>
          <w:i/>
        </w:rPr>
        <w:t>: Play, Active, Recreation and Sport</w:t>
      </w:r>
      <w:r>
        <w:t>.; 2019.</w:t>
      </w:r>
      <w:r>
        <w:rPr>
          <w:spacing w:val="-52"/>
        </w:rPr>
        <w:t xml:space="preserve"> </w:t>
      </w:r>
      <w:r>
        <w:t>https://sportnz.org.nz/assets/Uploads/Sport-NZ-Disability-Plan-2020.pdf</w:t>
      </w:r>
    </w:p>
    <w:p w14:paraId="4A743814" w14:textId="77777777" w:rsidR="002A14F8" w:rsidRDefault="002A14F8">
      <w:pPr>
        <w:pStyle w:val="BodyText"/>
        <w:spacing w:before="8"/>
        <w:rPr>
          <w:sz w:val="20"/>
        </w:rPr>
      </w:pPr>
    </w:p>
    <w:p w14:paraId="6798292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70"/>
      </w:pPr>
      <w:r>
        <w:t xml:space="preserve">Ministry of Social Development. </w:t>
      </w:r>
      <w:r>
        <w:rPr>
          <w:i/>
        </w:rPr>
        <w:t>Working Matters: Draft Disability Employment Action Plan</w:t>
      </w:r>
      <w:r>
        <w:rPr>
          <w:i/>
          <w:spacing w:val="-52"/>
        </w:rPr>
        <w:t xml:space="preserve"> </w:t>
      </w:r>
      <w:r>
        <w:rPr>
          <w:i/>
        </w:rPr>
        <w:t>for Consultation</w:t>
      </w:r>
      <w:r>
        <w:t>.; 2019. https://</w:t>
      </w:r>
      <w:hyperlink r:id="rId45">
        <w:r>
          <w:t>www.msd.govt.nz/documents/what-we-can-do/disability-</w:t>
        </w:r>
      </w:hyperlink>
      <w:r>
        <w:rPr>
          <w:spacing w:val="1"/>
        </w:rPr>
        <w:t xml:space="preserve"> </w:t>
      </w:r>
      <w:r>
        <w:t>services/disability-employment-action-plan/draft-disability-employment-action-plan-full-</w:t>
      </w:r>
      <w:r>
        <w:rPr>
          <w:spacing w:val="1"/>
        </w:rPr>
        <w:t xml:space="preserve"> </w:t>
      </w:r>
      <w:r>
        <w:t>report-online.pdf</w:t>
      </w:r>
    </w:p>
    <w:p w14:paraId="536FF830" w14:textId="77777777" w:rsidR="002A14F8" w:rsidRDefault="002A14F8">
      <w:pPr>
        <w:pStyle w:val="BodyText"/>
        <w:spacing w:before="11"/>
        <w:rPr>
          <w:sz w:val="20"/>
        </w:rPr>
      </w:pPr>
    </w:p>
    <w:p w14:paraId="099131A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949"/>
      </w:pPr>
      <w:r>
        <w:t>Harris T, Henderson L. Inclusion</w:t>
      </w:r>
      <w:r>
        <w:t>: Cultural capital of diversity or deficit of disability?</w:t>
      </w:r>
      <w:r>
        <w:rPr>
          <w:spacing w:val="1"/>
        </w:rPr>
        <w:t xml:space="preserve"> </w:t>
      </w:r>
      <w:r>
        <w:t>Language for change. In: Research Center on Education (CIEd)/Institute of Education, ed.</w:t>
      </w:r>
      <w:r>
        <w:rPr>
          <w:spacing w:val="-52"/>
        </w:rPr>
        <w:t xml:space="preserve"> </w:t>
      </w:r>
      <w:r>
        <w:rPr>
          <w:i/>
        </w:rPr>
        <w:t>Proceedings of Braga 2014 Embracing Inclusive Approaches for Children and Youth with</w:t>
      </w:r>
      <w:r>
        <w:rPr>
          <w:i/>
          <w:spacing w:val="-52"/>
        </w:rPr>
        <w:t xml:space="preserve"> </w:t>
      </w:r>
      <w:r>
        <w:rPr>
          <w:i/>
        </w:rPr>
        <w:t xml:space="preserve">Special Education Needs </w:t>
      </w:r>
      <w:r>
        <w:rPr>
          <w:i/>
        </w:rPr>
        <w:t>Conference</w:t>
      </w:r>
      <w:r>
        <w:t>. Research Center on Education (CIEd)/Institute of</w:t>
      </w:r>
      <w:r>
        <w:rPr>
          <w:spacing w:val="1"/>
        </w:rPr>
        <w:t xml:space="preserve"> </w:t>
      </w:r>
      <w:r>
        <w:t>Education University of Minho; 2014.</w:t>
      </w:r>
      <w:r>
        <w:rPr>
          <w:spacing w:val="1"/>
        </w:rPr>
        <w:t xml:space="preserve"> </w:t>
      </w:r>
      <w:r>
        <w:t>https://core.ac.uk/download/pdf/55631223.pdf#page=171</w:t>
      </w:r>
    </w:p>
    <w:p w14:paraId="222B13A3" w14:textId="77777777" w:rsidR="002A14F8" w:rsidRDefault="002A14F8">
      <w:pPr>
        <w:pStyle w:val="BodyText"/>
        <w:rPr>
          <w:sz w:val="21"/>
        </w:rPr>
      </w:pPr>
    </w:p>
    <w:p w14:paraId="699D15A0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76"/>
      </w:pPr>
      <w:r>
        <w:t>Pacheco E, Yoong P, Lips M. Transition issues in higher education and digital technologies:</w:t>
      </w:r>
      <w:r>
        <w:rPr>
          <w:spacing w:val="-52"/>
        </w:rPr>
        <w:t xml:space="preserve"> </w:t>
      </w:r>
      <w:r>
        <w:t xml:space="preserve">the experiences of students with disabilities in New Zealand. </w:t>
      </w:r>
      <w:r>
        <w:rPr>
          <w:i/>
        </w:rPr>
        <w:t>Disability &amp; Society</w:t>
      </w:r>
      <w:r>
        <w:t>.</w:t>
      </w:r>
      <w:r>
        <w:rPr>
          <w:spacing w:val="1"/>
        </w:rPr>
        <w:t xml:space="preserve"> </w:t>
      </w:r>
      <w:r>
        <w:t>2020;0(0):1-23.</w:t>
      </w:r>
      <w:r>
        <w:rPr>
          <w:spacing w:val="-1"/>
        </w:rPr>
        <w:t xml:space="preserve"> </w:t>
      </w:r>
      <w:r>
        <w:t>doi:10.1080/09687599.2020.1735305</w:t>
      </w:r>
    </w:p>
    <w:p w14:paraId="4A538AEB" w14:textId="77777777" w:rsidR="002A14F8" w:rsidRDefault="002A14F8">
      <w:pPr>
        <w:pStyle w:val="BodyText"/>
        <w:spacing w:before="10"/>
        <w:rPr>
          <w:sz w:val="20"/>
        </w:rPr>
      </w:pPr>
    </w:p>
    <w:p w14:paraId="0205338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09"/>
      </w:pPr>
      <w:r>
        <w:t>Hickey H, Wilson D. Whānau ha</w:t>
      </w:r>
      <w:r>
        <w:t xml:space="preserve">uā: Reframing disability from an Indigenous perspective. </w:t>
      </w:r>
      <w:r>
        <w:rPr>
          <w:i/>
        </w:rPr>
        <w:t>MAI</w:t>
      </w:r>
      <w:r>
        <w:rPr>
          <w:i/>
          <w:spacing w:val="-52"/>
        </w:rPr>
        <w:t xml:space="preserve"> </w:t>
      </w:r>
      <w:r>
        <w:rPr>
          <w:i/>
        </w:rPr>
        <w:t>Journal: A New Zealand Journal of Indigenous Scholarship</w:t>
      </w:r>
      <w:r>
        <w:t>. 2017;6(1).</w:t>
      </w:r>
      <w:r>
        <w:rPr>
          <w:spacing w:val="1"/>
        </w:rPr>
        <w:t xml:space="preserve"> </w:t>
      </w:r>
      <w:r>
        <w:t>doi:10.20507/MAIJournal.2017.6.1.7</w:t>
      </w:r>
    </w:p>
    <w:p w14:paraId="1C95EFC6" w14:textId="77777777" w:rsidR="002A14F8" w:rsidRDefault="002A14F8">
      <w:pPr>
        <w:pStyle w:val="BodyText"/>
        <w:spacing w:before="9"/>
        <w:rPr>
          <w:sz w:val="20"/>
        </w:rPr>
      </w:pPr>
    </w:p>
    <w:p w14:paraId="3F1C47D6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95"/>
      </w:pPr>
      <w:r>
        <w:t>Wyeth EH, Samaranayaka A, Davie G, Derrett S. Prevalence and predictors of disability for</w:t>
      </w:r>
      <w:r>
        <w:rPr>
          <w:spacing w:val="-52"/>
        </w:rPr>
        <w:t xml:space="preserve"> </w:t>
      </w:r>
      <w:r>
        <w:t xml:space="preserve">Māori 24 months after injury. </w:t>
      </w:r>
      <w:r>
        <w:rPr>
          <w:i/>
        </w:rPr>
        <w:t>Australian and New Zealand Journal of Public Health</w:t>
      </w:r>
      <w:r>
        <w:t>.</w:t>
      </w:r>
      <w:r>
        <w:rPr>
          <w:spacing w:val="1"/>
        </w:rPr>
        <w:t xml:space="preserve"> </w:t>
      </w:r>
      <w:r>
        <w:t>2017;41(3):262-268.</w:t>
      </w:r>
      <w:r>
        <w:rPr>
          <w:spacing w:val="-1"/>
        </w:rPr>
        <w:t xml:space="preserve"> </w:t>
      </w:r>
      <w:r>
        <w:t>doi:10.1111/1753-6405.12657</w:t>
      </w:r>
    </w:p>
    <w:p w14:paraId="3AFCC378" w14:textId="77777777" w:rsidR="002A14F8" w:rsidRDefault="002A14F8">
      <w:pPr>
        <w:pStyle w:val="BodyText"/>
        <w:spacing w:before="10"/>
        <w:rPr>
          <w:sz w:val="20"/>
        </w:rPr>
      </w:pPr>
    </w:p>
    <w:p w14:paraId="0DE3AD8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118"/>
      </w:pPr>
      <w:r>
        <w:t>Morrison C-A, Woodbury E, Johnston L, Longhurst R. Disabled people’s embodied and</w:t>
      </w:r>
      <w:r>
        <w:rPr>
          <w:spacing w:val="-52"/>
        </w:rPr>
        <w:t xml:space="preserve"> </w:t>
      </w:r>
      <w:r>
        <w:t xml:space="preserve">emotional geographies of (not)belonging in Aotearoa New Zealand. </w:t>
      </w:r>
      <w:r>
        <w:rPr>
          <w:i/>
        </w:rPr>
        <w:t>Health &amp; Place</w:t>
      </w:r>
      <w:r>
        <w:t>.</w:t>
      </w:r>
      <w:r>
        <w:rPr>
          <w:spacing w:val="1"/>
        </w:rPr>
        <w:t xml:space="preserve"> </w:t>
      </w:r>
      <w:r>
        <w:t>2020;62:102283.</w:t>
      </w:r>
      <w:r>
        <w:rPr>
          <w:spacing w:val="-1"/>
        </w:rPr>
        <w:t xml:space="preserve"> </w:t>
      </w:r>
      <w:r>
        <w:t>doi:10.1016/j.healthplace.2020.102283</w:t>
      </w:r>
    </w:p>
    <w:p w14:paraId="72860E0E" w14:textId="77777777" w:rsidR="002A14F8" w:rsidRDefault="002A14F8">
      <w:pPr>
        <w:pStyle w:val="BodyText"/>
        <w:spacing w:before="9"/>
        <w:rPr>
          <w:sz w:val="20"/>
        </w:rPr>
      </w:pPr>
    </w:p>
    <w:p w14:paraId="1BD61763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679"/>
      </w:pPr>
      <w:r>
        <w:t>Leah A, McIntosh J. Projecting Disabil</w:t>
      </w:r>
      <w:r>
        <w:t xml:space="preserve">ity in New Zealand. </w:t>
      </w:r>
      <w:r>
        <w:rPr>
          <w:i/>
        </w:rPr>
        <w:t>New Zealand Population Review;</w:t>
      </w:r>
      <w:r>
        <w:rPr>
          <w:i/>
          <w:spacing w:val="-52"/>
        </w:rPr>
        <w:t xml:space="preserve"> </w:t>
      </w:r>
      <w:r>
        <w:rPr>
          <w:i/>
        </w:rPr>
        <w:t>Wellington</w:t>
      </w:r>
      <w:r>
        <w:t>.</w:t>
      </w:r>
      <w:r>
        <w:rPr>
          <w:spacing w:val="-1"/>
        </w:rPr>
        <w:t xml:space="preserve"> </w:t>
      </w:r>
      <w:r>
        <w:t>2017;43:135-153.</w:t>
      </w:r>
    </w:p>
    <w:p w14:paraId="7F4C04CE" w14:textId="77777777" w:rsidR="002A14F8" w:rsidRDefault="002A14F8">
      <w:pPr>
        <w:pStyle w:val="BodyText"/>
        <w:spacing w:before="10"/>
        <w:rPr>
          <w:sz w:val="20"/>
        </w:rPr>
      </w:pPr>
    </w:p>
    <w:p w14:paraId="22615CD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130"/>
      </w:pPr>
      <w:r>
        <w:t xml:space="preserve">Office for Disability Issues. </w:t>
      </w:r>
      <w:r>
        <w:rPr>
          <w:i/>
        </w:rPr>
        <w:t>New Zealand Disability Strategy 2016–2026</w:t>
      </w:r>
      <w:r>
        <w:t>.; 2016.</w:t>
      </w:r>
      <w:r>
        <w:rPr>
          <w:spacing w:val="1"/>
        </w:rPr>
        <w:t xml:space="preserve"> </w:t>
      </w:r>
      <w:r>
        <w:rPr>
          <w:spacing w:val="-1"/>
        </w:rPr>
        <w:t>https://</w:t>
      </w:r>
      <w:hyperlink r:id="rId46">
        <w:r>
          <w:rPr>
            <w:spacing w:val="-1"/>
          </w:rPr>
          <w:t>www.odi.govt.nz/assets/New-Zealand-Disability-Strategy-files/pdf-nz-disability-</w:t>
        </w:r>
      </w:hyperlink>
      <w:r>
        <w:t xml:space="preserve"> strategy-2016.pdf</w:t>
      </w:r>
    </w:p>
    <w:p w14:paraId="0C340784" w14:textId="77777777" w:rsidR="002A14F8" w:rsidRDefault="002A14F8">
      <w:pPr>
        <w:pStyle w:val="BodyText"/>
        <w:spacing w:before="9"/>
        <w:rPr>
          <w:sz w:val="20"/>
        </w:rPr>
      </w:pPr>
    </w:p>
    <w:p w14:paraId="43111125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543"/>
      </w:pPr>
      <w:r>
        <w:t>IHC. IHC feedback: New Zealand Disability Strategy Revision – First phase public</w:t>
      </w:r>
      <w:r>
        <w:rPr>
          <w:spacing w:val="1"/>
        </w:rPr>
        <w:t xml:space="preserve"> </w:t>
      </w:r>
      <w:r>
        <w:t>consultation. Published online May 24, 2016.</w:t>
      </w:r>
      <w:r>
        <w:rPr>
          <w:spacing w:val="1"/>
        </w:rPr>
        <w:t xml:space="preserve"> </w:t>
      </w:r>
      <w:r>
        <w:rPr>
          <w:spacing w:val="-1"/>
        </w:rPr>
        <w:t>https://ihc.</w:t>
      </w:r>
      <w:r>
        <w:rPr>
          <w:spacing w:val="-1"/>
        </w:rPr>
        <w:t>org.nz/sites/default/files/IHC%20feedback%20NZDS%20revision%201st%20consu</w:t>
      </w:r>
      <w:r>
        <w:t xml:space="preserve"> ltation.pdf</w:t>
      </w:r>
    </w:p>
    <w:p w14:paraId="00CB8925" w14:textId="77777777" w:rsidR="002A14F8" w:rsidRDefault="002A14F8">
      <w:pPr>
        <w:pStyle w:val="BodyText"/>
        <w:spacing w:before="11"/>
        <w:rPr>
          <w:sz w:val="20"/>
        </w:rPr>
      </w:pPr>
    </w:p>
    <w:p w14:paraId="1B58F59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25"/>
      </w:pPr>
      <w:r>
        <w:t xml:space="preserve">Office for Disability Issues. </w:t>
      </w:r>
      <w:r>
        <w:rPr>
          <w:i/>
        </w:rPr>
        <w:t>Disability Action Plan 2019–2023: Putting the New Zealand</w:t>
      </w:r>
      <w:r>
        <w:rPr>
          <w:i/>
          <w:spacing w:val="1"/>
        </w:rPr>
        <w:t xml:space="preserve"> </w:t>
      </w:r>
      <w:r>
        <w:rPr>
          <w:i/>
        </w:rPr>
        <w:t>Disability Strategy into Action</w:t>
      </w:r>
      <w:r>
        <w:t>.; 2019. https://</w:t>
      </w:r>
      <w:hyperlink r:id="rId47">
        <w:r>
          <w:t>www.odi.govt.nz/assets/Uploads/ODI-Disability-</w:t>
        </w:r>
      </w:hyperlink>
      <w:r>
        <w:rPr>
          <w:spacing w:val="-52"/>
        </w:rPr>
        <w:t xml:space="preserve"> </w:t>
      </w:r>
      <w:r>
        <w:t>Action-Plan-2019-9-WEB-SINGLES.pdf</w:t>
      </w:r>
    </w:p>
    <w:p w14:paraId="3ED318BF" w14:textId="77777777" w:rsidR="002A14F8" w:rsidRDefault="002A14F8">
      <w:pPr>
        <w:pStyle w:val="BodyText"/>
        <w:spacing w:before="9"/>
        <w:rPr>
          <w:sz w:val="20"/>
        </w:rPr>
      </w:pPr>
    </w:p>
    <w:p w14:paraId="436929C5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1289"/>
      </w:pPr>
      <w:r>
        <w:t xml:space="preserve">Aguiar B, Macário R. The need for an Elderly centred mobility policy. </w:t>
      </w:r>
      <w:r>
        <w:rPr>
          <w:i/>
        </w:rPr>
        <w:t>Transportation</w:t>
      </w:r>
      <w:r>
        <w:rPr>
          <w:i/>
          <w:spacing w:val="-52"/>
        </w:rPr>
        <w:t xml:space="preserve"> </w:t>
      </w:r>
      <w:r>
        <w:rPr>
          <w:i/>
        </w:rPr>
        <w:t>Research</w:t>
      </w:r>
      <w:r>
        <w:rPr>
          <w:i/>
          <w:spacing w:val="-1"/>
        </w:rPr>
        <w:t xml:space="preserve"> </w:t>
      </w:r>
      <w:r>
        <w:rPr>
          <w:i/>
        </w:rPr>
        <w:t>Procedia</w:t>
      </w:r>
      <w:r>
        <w:t>. 2017;25:4355-4369.</w:t>
      </w:r>
      <w:r>
        <w:rPr>
          <w:spacing w:val="-1"/>
        </w:rPr>
        <w:t xml:space="preserve"> </w:t>
      </w:r>
      <w:r>
        <w:t>doi:10.1016/j.trpro.2017.05.309</w:t>
      </w:r>
    </w:p>
    <w:p w14:paraId="34744C93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6CAA6D5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 w:line="253" w:lineRule="exact"/>
        <w:ind w:hanging="625"/>
      </w:pPr>
      <w:r>
        <w:lastRenderedPageBreak/>
        <w:t>Aldrich</w:t>
      </w:r>
      <w:r>
        <w:rPr>
          <w:spacing w:val="-1"/>
        </w:rPr>
        <w:t xml:space="preserve"> </w:t>
      </w:r>
      <w:r>
        <w:t>R.</w:t>
      </w:r>
      <w:r>
        <w:rPr>
          <w:spacing w:val="-4"/>
        </w:rPr>
        <w:t xml:space="preserve"> </w:t>
      </w:r>
      <w:r>
        <w:t>The ageing</w:t>
      </w:r>
      <w:r>
        <w:rPr>
          <w:spacing w:val="-4"/>
        </w:rPr>
        <w:t xml:space="preserve"> </w:t>
      </w:r>
      <w:r>
        <w:t>demographic</w:t>
      </w:r>
      <w:r>
        <w:rPr>
          <w:spacing w:val="-3"/>
        </w:rPr>
        <w:t xml:space="preserve"> </w:t>
      </w:r>
      <w:r>
        <w:t>transition: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impact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elderly</w:t>
      </w:r>
      <w:r>
        <w:rPr>
          <w:spacing w:val="-4"/>
        </w:rPr>
        <w:t xml:space="preserve"> </w:t>
      </w:r>
      <w:r>
        <w:t>and social</w:t>
      </w:r>
      <w:r>
        <w:rPr>
          <w:spacing w:val="-3"/>
        </w:rPr>
        <w:t xml:space="preserve"> </w:t>
      </w:r>
      <w:r>
        <w:t>workers.</w:t>
      </w:r>
    </w:p>
    <w:p w14:paraId="6132209C" w14:textId="77777777" w:rsidR="002A14F8" w:rsidRDefault="003458B8">
      <w:pPr>
        <w:spacing w:line="253" w:lineRule="exact"/>
        <w:ind w:left="1164"/>
      </w:pPr>
      <w:r>
        <w:rPr>
          <w:i/>
        </w:rPr>
        <w:t>Aotearoa</w:t>
      </w:r>
      <w:r>
        <w:rPr>
          <w:i/>
          <w:spacing w:val="-2"/>
        </w:rPr>
        <w:t xml:space="preserve"> </w:t>
      </w:r>
      <w:r>
        <w:rPr>
          <w:i/>
        </w:rPr>
        <w:t>New</w:t>
      </w:r>
      <w:r>
        <w:rPr>
          <w:i/>
          <w:spacing w:val="-1"/>
        </w:rPr>
        <w:t xml:space="preserve"> </w:t>
      </w:r>
      <w:r>
        <w:rPr>
          <w:i/>
        </w:rPr>
        <w:t>Zealand</w:t>
      </w:r>
      <w:r>
        <w:rPr>
          <w:i/>
          <w:spacing w:val="-1"/>
        </w:rPr>
        <w:t xml:space="preserve"> </w:t>
      </w:r>
      <w:r>
        <w:rPr>
          <w:i/>
        </w:rPr>
        <w:t>Social Work</w:t>
      </w:r>
      <w:r>
        <w:t>.</w:t>
      </w:r>
      <w:r>
        <w:rPr>
          <w:spacing w:val="-1"/>
        </w:rPr>
        <w:t xml:space="preserve"> </w:t>
      </w:r>
      <w:r>
        <w:t>2010;22(2):4-12.</w:t>
      </w:r>
    </w:p>
    <w:p w14:paraId="5B19F7E2" w14:textId="77777777" w:rsidR="002A14F8" w:rsidRDefault="002A14F8">
      <w:pPr>
        <w:pStyle w:val="BodyText"/>
        <w:rPr>
          <w:sz w:val="21"/>
        </w:rPr>
      </w:pPr>
    </w:p>
    <w:p w14:paraId="0E477292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15"/>
      </w:pPr>
      <w:r>
        <w:t xml:space="preserve">Age Concern New Zealand Incorporated. </w:t>
      </w:r>
      <w:r>
        <w:rPr>
          <w:i/>
        </w:rPr>
        <w:t>Towards a Positive Future: Policies and Aims of Age</w:t>
      </w:r>
      <w:r>
        <w:rPr>
          <w:i/>
          <w:spacing w:val="-52"/>
        </w:rPr>
        <w:t xml:space="preserve"> </w:t>
      </w:r>
      <w:r>
        <w:rPr>
          <w:i/>
        </w:rPr>
        <w:t xml:space="preserve">Concern New Zealand. </w:t>
      </w:r>
      <w:r>
        <w:t>Age Concern New Zealand; 2007. Accessed January 20, 2020.</w:t>
      </w:r>
      <w:r>
        <w:rPr>
          <w:spacing w:val="1"/>
        </w:rPr>
        <w:t xml:space="preserve"> </w:t>
      </w:r>
      <w:hyperlink r:id="rId48">
        <w:r>
          <w:t>http://www.ageconcern.org.nz/files/img/TowardsAPositiveFutureWeb.pdf</w:t>
        </w:r>
      </w:hyperlink>
    </w:p>
    <w:p w14:paraId="6602F9DE" w14:textId="77777777" w:rsidR="002A14F8" w:rsidRDefault="002A14F8">
      <w:pPr>
        <w:pStyle w:val="BodyText"/>
        <w:spacing w:before="9"/>
        <w:rPr>
          <w:sz w:val="20"/>
        </w:rPr>
      </w:pPr>
    </w:p>
    <w:p w14:paraId="1B38A7A5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672"/>
      </w:pPr>
      <w:r>
        <w:t xml:space="preserve">Office for Seniors. </w:t>
      </w:r>
      <w:r>
        <w:rPr>
          <w:i/>
        </w:rPr>
        <w:t>Attitudes towards Ageing: Research Commissioned by the Office for</w:t>
      </w:r>
      <w:r>
        <w:rPr>
          <w:i/>
          <w:spacing w:val="1"/>
        </w:rPr>
        <w:t xml:space="preserve"> </w:t>
      </w:r>
      <w:r>
        <w:rPr>
          <w:i/>
        </w:rPr>
        <w:t xml:space="preserve">Seniors. </w:t>
      </w:r>
      <w:r>
        <w:t>Ministry of Social Development; 2016.</w:t>
      </w:r>
      <w:r>
        <w:rPr>
          <w:spacing w:val="1"/>
        </w:rPr>
        <w:t xml:space="preserve"> </w:t>
      </w:r>
      <w:hyperlink r:id="rId49">
        <w:r>
          <w:rPr>
            <w:spacing w:val="-1"/>
          </w:rPr>
          <w:t>http://www.superseniors.msd.govt.nz/documents/attitudes-towards-ageing-research/attitudes-</w:t>
        </w:r>
      </w:hyperlink>
      <w:r>
        <w:t xml:space="preserve"> toward-ageing-summary-report-2016.pdf</w:t>
      </w:r>
    </w:p>
    <w:p w14:paraId="6784314B" w14:textId="77777777" w:rsidR="002A14F8" w:rsidRDefault="002A14F8">
      <w:pPr>
        <w:pStyle w:val="BodyText"/>
        <w:spacing w:before="10"/>
        <w:rPr>
          <w:sz w:val="20"/>
        </w:rPr>
      </w:pPr>
    </w:p>
    <w:p w14:paraId="5563E79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79"/>
      </w:pPr>
      <w:r>
        <w:t xml:space="preserve">Wylie S, Age Concern Canterbury. </w:t>
      </w:r>
      <w:r>
        <w:rPr>
          <w:i/>
        </w:rPr>
        <w:t>Social Isolation and Older People i</w:t>
      </w:r>
      <w:r>
        <w:rPr>
          <w:i/>
        </w:rPr>
        <w:t>n Canterbury</w:t>
      </w:r>
      <w:r>
        <w:t>.; 2017.</w:t>
      </w:r>
      <w:r>
        <w:rPr>
          <w:spacing w:val="-52"/>
        </w:rPr>
        <w:t xml:space="preserve"> </w:t>
      </w:r>
      <w:r>
        <w:t>https://ageconcerncan.org.nz/wp-</w:t>
      </w:r>
      <w:r>
        <w:rPr>
          <w:spacing w:val="1"/>
        </w:rPr>
        <w:t xml:space="preserve"> </w:t>
      </w:r>
      <w:r>
        <w:t>content/uploads/2017/01/Social_Isolation_Research_Report.pdf</w:t>
      </w:r>
    </w:p>
    <w:p w14:paraId="74B90B95" w14:textId="77777777" w:rsidR="002A14F8" w:rsidRDefault="002A14F8">
      <w:pPr>
        <w:pStyle w:val="BodyText"/>
        <w:spacing w:before="10"/>
        <w:rPr>
          <w:sz w:val="20"/>
        </w:rPr>
      </w:pPr>
    </w:p>
    <w:p w14:paraId="79FE510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694"/>
      </w:pPr>
      <w:r>
        <w:t xml:space="preserve">The Office for Seniors. </w:t>
      </w:r>
      <w:r>
        <w:rPr>
          <w:i/>
        </w:rPr>
        <w:t>Better Later Life He Oranga Kaumātua 2019 to 2034</w:t>
      </w:r>
      <w:r>
        <w:t>.; 2019.</w:t>
      </w:r>
      <w:r>
        <w:rPr>
          <w:spacing w:val="1"/>
        </w:rPr>
        <w:t xml:space="preserve"> </w:t>
      </w:r>
      <w:hyperlink r:id="rId50">
        <w:r>
          <w:rPr>
            <w:spacing w:val="-1"/>
          </w:rPr>
          <w:t>http://www.superseniors.msd.govt.nz/documents/better-later-life/better-later-life-strategy.pdf</w:t>
        </w:r>
      </w:hyperlink>
    </w:p>
    <w:p w14:paraId="2C769990" w14:textId="77777777" w:rsidR="002A14F8" w:rsidRDefault="002A14F8">
      <w:pPr>
        <w:pStyle w:val="BodyText"/>
        <w:spacing w:before="10"/>
        <w:rPr>
          <w:sz w:val="20"/>
        </w:rPr>
      </w:pPr>
    </w:p>
    <w:p w14:paraId="5CEDE913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27"/>
      </w:pPr>
      <w:r>
        <w:t xml:space="preserve">Jones N. Lonely New Zealand: A third of elderly spend their days alone - NZ Herald. </w:t>
      </w:r>
      <w:r>
        <w:rPr>
          <w:i/>
        </w:rPr>
        <w:t>New</w:t>
      </w:r>
      <w:r>
        <w:rPr>
          <w:i/>
          <w:spacing w:val="1"/>
        </w:rPr>
        <w:t xml:space="preserve"> </w:t>
      </w:r>
      <w:r>
        <w:rPr>
          <w:i/>
        </w:rPr>
        <w:t>Zealand Herald</w:t>
      </w:r>
      <w:r>
        <w:t>. https://</w:t>
      </w:r>
      <w:hyperlink r:id="rId51">
        <w:r>
          <w:t>www.nzherald.co.nz/nz/news/article.cfm?c_id=1&amp;objectid</w:t>
        </w:r>
        <w:r>
          <w:t>=12022462.</w:t>
        </w:r>
      </w:hyperlink>
      <w:r>
        <w:rPr>
          <w:spacing w:val="-52"/>
        </w:rPr>
        <w:t xml:space="preserve"> </w:t>
      </w:r>
      <w:r>
        <w:t>Published</w:t>
      </w:r>
      <w:r>
        <w:rPr>
          <w:spacing w:val="-1"/>
        </w:rPr>
        <w:t xml:space="preserve"> </w:t>
      </w:r>
      <w:r>
        <w:t>April</w:t>
      </w:r>
      <w:r>
        <w:rPr>
          <w:spacing w:val="1"/>
        </w:rPr>
        <w:t xml:space="preserve"> </w:t>
      </w:r>
      <w:r>
        <w:t>8,</w:t>
      </w:r>
      <w:r>
        <w:rPr>
          <w:spacing w:val="-3"/>
        </w:rPr>
        <w:t xml:space="preserve"> </w:t>
      </w:r>
      <w:r>
        <w:t>2018. Accessed August</w:t>
      </w:r>
      <w:r>
        <w:rPr>
          <w:spacing w:val="-1"/>
        </w:rPr>
        <w:t xml:space="preserve"> </w:t>
      </w:r>
      <w:r>
        <w:t>21, 2020.</w:t>
      </w:r>
    </w:p>
    <w:p w14:paraId="2E136DD9" w14:textId="77777777" w:rsidR="002A14F8" w:rsidRDefault="002A14F8">
      <w:pPr>
        <w:pStyle w:val="BodyText"/>
        <w:spacing w:before="9"/>
        <w:rPr>
          <w:sz w:val="20"/>
        </w:rPr>
      </w:pPr>
    </w:p>
    <w:p w14:paraId="3A69DF8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13"/>
      </w:pPr>
      <w:r>
        <w:t xml:space="preserve">NZ Family Violence Clearinghouse. </w:t>
      </w:r>
      <w:r>
        <w:rPr>
          <w:i/>
        </w:rPr>
        <w:t>Elder Abuse and Neglect: A Selected Bibliography</w:t>
      </w:r>
      <w:r>
        <w:t>.; 2012.</w:t>
      </w:r>
      <w:r>
        <w:rPr>
          <w:spacing w:val="-52"/>
        </w:rPr>
        <w:t xml:space="preserve"> </w:t>
      </w:r>
      <w:r>
        <w:t>https://nzfvc.org.nz/sites/default/files/elder-abuse-aug-2012-final.pdf</w:t>
      </w:r>
    </w:p>
    <w:p w14:paraId="0AB1BCCD" w14:textId="77777777" w:rsidR="002A14F8" w:rsidRDefault="002A14F8">
      <w:pPr>
        <w:pStyle w:val="BodyText"/>
        <w:spacing w:before="11"/>
        <w:rPr>
          <w:sz w:val="20"/>
        </w:rPr>
      </w:pPr>
    </w:p>
    <w:p w14:paraId="5FA4CE20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30"/>
      </w:pPr>
      <w:r>
        <w:t xml:space="preserve">Ministry of Health. </w:t>
      </w:r>
      <w:r>
        <w:rPr>
          <w:i/>
        </w:rPr>
        <w:t>Summary o</w:t>
      </w:r>
      <w:r>
        <w:rPr>
          <w:i/>
        </w:rPr>
        <w:t>f Public Consultation on the Update of the Health of Older</w:t>
      </w:r>
      <w:r>
        <w:rPr>
          <w:i/>
          <w:spacing w:val="1"/>
        </w:rPr>
        <w:t xml:space="preserve"> </w:t>
      </w:r>
      <w:r>
        <w:rPr>
          <w:i/>
        </w:rPr>
        <w:t>People Strategy</w:t>
      </w:r>
      <w:r>
        <w:t>.; 2017.</w:t>
      </w:r>
      <w:r>
        <w:rPr>
          <w:spacing w:val="1"/>
        </w:rPr>
        <w:t xml:space="preserve"> </w:t>
      </w:r>
      <w:r>
        <w:rPr>
          <w:spacing w:val="-1"/>
        </w:rPr>
        <w:t>https://</w:t>
      </w:r>
      <w:hyperlink r:id="rId52">
        <w:r>
          <w:rPr>
            <w:spacing w:val="-1"/>
          </w:rPr>
          <w:t>www.health.govt.nz/system/files/documents/publications/</w:t>
        </w:r>
        <w:r>
          <w:rPr>
            <w:spacing w:val="-1"/>
          </w:rPr>
          <w:t>summary-consultation-health-</w:t>
        </w:r>
      </w:hyperlink>
      <w:r>
        <w:t xml:space="preserve"> older-people-strategy-feb17.pdf</w:t>
      </w:r>
    </w:p>
    <w:p w14:paraId="508490AB" w14:textId="77777777" w:rsidR="002A14F8" w:rsidRDefault="002A14F8">
      <w:pPr>
        <w:pStyle w:val="BodyText"/>
        <w:spacing w:before="9"/>
        <w:rPr>
          <w:sz w:val="20"/>
        </w:rPr>
      </w:pPr>
    </w:p>
    <w:p w14:paraId="08AED14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919"/>
      </w:pPr>
      <w:r>
        <w:t xml:space="preserve">Sport New Zealand. </w:t>
      </w:r>
      <w:r>
        <w:rPr>
          <w:i/>
        </w:rPr>
        <w:t>Active Older People 2016-2020</w:t>
      </w:r>
      <w:r>
        <w:t>.; 2016.</w:t>
      </w:r>
      <w:r>
        <w:rPr>
          <w:spacing w:val="1"/>
        </w:rPr>
        <w:t xml:space="preserve"> </w:t>
      </w:r>
      <w:r>
        <w:rPr>
          <w:spacing w:val="-1"/>
        </w:rPr>
        <w:t>https://sportnz.org.nz/assets/Uploads/Active-Older-People-Discussion-Document-30-Nov-</w:t>
      </w:r>
      <w:r>
        <w:t xml:space="preserve"> 2016.pdf</w:t>
      </w:r>
    </w:p>
    <w:p w14:paraId="35A0675E" w14:textId="77777777" w:rsidR="002A14F8" w:rsidRDefault="002A14F8">
      <w:pPr>
        <w:pStyle w:val="BodyText"/>
        <w:rPr>
          <w:sz w:val="21"/>
        </w:rPr>
      </w:pPr>
    </w:p>
    <w:p w14:paraId="65AA464E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84"/>
      </w:pPr>
      <w:r>
        <w:t xml:space="preserve">Howel K. </w:t>
      </w:r>
      <w:r>
        <w:rPr>
          <w:i/>
        </w:rPr>
        <w:t>Seniors Housing: Issue Identific</w:t>
      </w:r>
      <w:r>
        <w:rPr>
          <w:i/>
        </w:rPr>
        <w:t>ation Paper</w:t>
      </w:r>
      <w:r>
        <w:t>.; 2016. https://cffc-assets-prod.s3.ap-</w:t>
      </w:r>
      <w:r>
        <w:rPr>
          <w:spacing w:val="-52"/>
        </w:rPr>
        <w:t xml:space="preserve"> </w:t>
      </w:r>
      <w:r>
        <w:t>southeast-2.amazonaws.com/public/Uploads/2016-Review-Of-Retirement-Income-</w:t>
      </w:r>
      <w:r>
        <w:rPr>
          <w:spacing w:val="1"/>
        </w:rPr>
        <w:t xml:space="preserve"> </w:t>
      </w:r>
      <w:r>
        <w:t>Policies/Vulnerable-Groups/Heavy-Stuff/1ca1ec67b0/415-Vulnerable-Groups-Seniors-</w:t>
      </w:r>
      <w:r>
        <w:rPr>
          <w:spacing w:val="1"/>
        </w:rPr>
        <w:t xml:space="preserve"> </w:t>
      </w:r>
      <w:r>
        <w:t>Housing-Issue-identification-paper-AKLD-Council-</w:t>
      </w:r>
      <w:r>
        <w:t>June-2016.pdf</w:t>
      </w:r>
    </w:p>
    <w:p w14:paraId="50581146" w14:textId="77777777" w:rsidR="002A14F8" w:rsidRDefault="002A14F8">
      <w:pPr>
        <w:pStyle w:val="BodyText"/>
        <w:spacing w:before="9"/>
        <w:rPr>
          <w:sz w:val="20"/>
        </w:rPr>
      </w:pPr>
    </w:p>
    <w:p w14:paraId="5D9B9CB2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000"/>
      </w:pPr>
      <w:r>
        <w:rPr>
          <w:i/>
        </w:rPr>
        <w:t>Hamilton, New Zealand: An Age Friendly City</w:t>
      </w:r>
      <w:r>
        <w:t>.; 2018. https://</w:t>
      </w:r>
      <w:hyperlink r:id="rId53">
        <w:r>
          <w:t>www.hamilton.govt.nz/our-</w:t>
        </w:r>
      </w:hyperlink>
      <w:r>
        <w:rPr>
          <w:spacing w:val="-52"/>
        </w:rPr>
        <w:t xml:space="preserve"> </w:t>
      </w:r>
      <w:r>
        <w:t>city/community-</w:t>
      </w:r>
    </w:p>
    <w:p w14:paraId="35D73294" w14:textId="77777777" w:rsidR="002A14F8" w:rsidRDefault="003458B8">
      <w:pPr>
        <w:pStyle w:val="BodyText"/>
        <w:ind w:left="1164" w:right="603"/>
      </w:pPr>
      <w:r>
        <w:rPr>
          <w:spacing w:val="-1"/>
        </w:rPr>
        <w:t>development/Documents/Community%20-%20Hamilton%20Age%20friendly%20city%20pla</w:t>
      </w:r>
      <w:r>
        <w:t xml:space="preserve"> n%20FINAL%</w:t>
      </w:r>
      <w:r>
        <w:t>20-%20March%202018.pdf</w:t>
      </w:r>
    </w:p>
    <w:p w14:paraId="1BBC3069" w14:textId="77777777" w:rsidR="002A14F8" w:rsidRDefault="002A14F8">
      <w:pPr>
        <w:pStyle w:val="BodyText"/>
        <w:spacing w:before="10"/>
        <w:rPr>
          <w:sz w:val="20"/>
        </w:rPr>
      </w:pPr>
    </w:p>
    <w:p w14:paraId="1D99DB0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742"/>
      </w:pPr>
      <w:r>
        <w:t>Tasman District Council. Age-friendly policy. Published August 14, 2019. Accessed March</w:t>
      </w:r>
      <w:r>
        <w:rPr>
          <w:spacing w:val="1"/>
        </w:rPr>
        <w:t xml:space="preserve"> </w:t>
      </w:r>
      <w:r>
        <w:t>18,</w:t>
      </w:r>
      <w:r>
        <w:rPr>
          <w:spacing w:val="-10"/>
        </w:rPr>
        <w:t xml:space="preserve"> </w:t>
      </w:r>
      <w:r>
        <w:t>2020.</w:t>
      </w:r>
      <w:r>
        <w:rPr>
          <w:spacing w:val="-9"/>
        </w:rPr>
        <w:t xml:space="preserve"> </w:t>
      </w:r>
      <w:r>
        <w:t>https://</w:t>
      </w:r>
      <w:hyperlink r:id="rId54">
        <w:r>
          <w:t>www.tasman.govt.nz/my-council/key-documents/more/age-friendly-policy/</w:t>
        </w:r>
      </w:hyperlink>
    </w:p>
    <w:p w14:paraId="32755053" w14:textId="77777777" w:rsidR="002A14F8" w:rsidRDefault="002A14F8">
      <w:pPr>
        <w:pStyle w:val="BodyText"/>
        <w:spacing w:before="11"/>
        <w:rPr>
          <w:sz w:val="20"/>
        </w:rPr>
      </w:pPr>
    </w:p>
    <w:p w14:paraId="59974862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59"/>
      </w:pPr>
      <w:r>
        <w:t>Horowhenua District Council. Positive ageing action plan 2016-2019. Published online June</w:t>
      </w:r>
      <w:r>
        <w:rPr>
          <w:spacing w:val="-52"/>
        </w:rPr>
        <w:t xml:space="preserve"> </w:t>
      </w:r>
      <w:r>
        <w:t>2</w:t>
      </w:r>
      <w:r>
        <w:t>016.</w:t>
      </w:r>
      <w:r>
        <w:rPr>
          <w:spacing w:val="-1"/>
        </w:rPr>
        <w:t xml:space="preserve"> </w:t>
      </w:r>
      <w:r>
        <w:t>https://</w:t>
      </w:r>
      <w:hyperlink r:id="rId55">
        <w:r>
          <w:t>www.horowhenua.govt.nz/Community/Older-People</w:t>
        </w:r>
      </w:hyperlink>
    </w:p>
    <w:p w14:paraId="1BC0B557" w14:textId="77777777" w:rsidR="002A14F8" w:rsidRDefault="002A14F8">
      <w:pPr>
        <w:pStyle w:val="BodyText"/>
        <w:spacing w:before="8"/>
        <w:rPr>
          <w:sz w:val="20"/>
        </w:rPr>
      </w:pPr>
    </w:p>
    <w:p w14:paraId="4AF986FF" w14:textId="77777777" w:rsidR="002A14F8" w:rsidRPr="00967B86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065"/>
        <w:rPr>
          <w:lang w:val="fr-CA"/>
        </w:rPr>
      </w:pPr>
      <w:r>
        <w:t xml:space="preserve">Office for Seniors Te Tari Kaumātua. </w:t>
      </w:r>
      <w:r>
        <w:rPr>
          <w:i/>
        </w:rPr>
        <w:t>Discussion Document He Pukapuka Matapaki:</w:t>
      </w:r>
      <w:r>
        <w:rPr>
          <w:i/>
          <w:spacing w:val="1"/>
        </w:rPr>
        <w:t xml:space="preserve"> </w:t>
      </w:r>
      <w:r>
        <w:rPr>
          <w:i/>
        </w:rPr>
        <w:t>Developing a New Strategy to Prepare for an A</w:t>
      </w:r>
      <w:r>
        <w:rPr>
          <w:i/>
        </w:rPr>
        <w:t>geing Population</w:t>
      </w:r>
      <w:r>
        <w:t>.; 2018.</w:t>
      </w:r>
      <w:r>
        <w:rPr>
          <w:spacing w:val="1"/>
        </w:rPr>
        <w:t xml:space="preserve"> </w:t>
      </w:r>
      <w:hyperlink r:id="rId56">
        <w:r w:rsidRPr="00967B86">
          <w:rPr>
            <w:spacing w:val="-1"/>
            <w:lang w:val="fr-CA"/>
          </w:rPr>
          <w:t>http://www.superseniors.msd.govt.nz/documents/ageing-population-consultation/ageing-</w:t>
        </w:r>
      </w:hyperlink>
      <w:r w:rsidRPr="00967B86">
        <w:rPr>
          <w:lang w:val="fr-CA"/>
        </w:rPr>
        <w:t xml:space="preserve"> population-discussion-document-web.pdf</w:t>
      </w:r>
    </w:p>
    <w:p w14:paraId="61BCCDE9" w14:textId="77777777" w:rsidR="002A14F8" w:rsidRPr="00967B86" w:rsidRDefault="002A14F8">
      <w:pPr>
        <w:rPr>
          <w:lang w:val="fr-CA"/>
        </w:rPr>
        <w:sectPr w:rsidR="002A14F8" w:rsidRPr="00967B86">
          <w:pgSz w:w="11910" w:h="16840"/>
          <w:pgMar w:top="1340" w:right="940" w:bottom="1200" w:left="900" w:header="0" w:footer="1010" w:gutter="0"/>
          <w:cols w:space="720"/>
        </w:sectPr>
      </w:pPr>
    </w:p>
    <w:p w14:paraId="2334455A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686"/>
      </w:pPr>
      <w:r>
        <w:lastRenderedPageBreak/>
        <w:t xml:space="preserve">The Office for Seniors. </w:t>
      </w:r>
      <w:r>
        <w:rPr>
          <w:i/>
        </w:rPr>
        <w:t>Better Later Life He Oranga Kaumātua 2019 to 2034: Draft</w:t>
      </w:r>
      <w:r>
        <w:t>.; 2019.</w:t>
      </w:r>
      <w:r>
        <w:rPr>
          <w:spacing w:val="1"/>
        </w:rPr>
        <w:t xml:space="preserve"> </w:t>
      </w:r>
      <w:hyperlink r:id="rId57">
        <w:r>
          <w:rPr>
            <w:spacing w:val="-1"/>
          </w:rPr>
          <w:t>http://www.superseniors.msd.govt.nz/doc</w:t>
        </w:r>
        <w:r>
          <w:rPr>
            <w:spacing w:val="-1"/>
          </w:rPr>
          <w:t>uments/ageing-population-consultation/better-later-</w:t>
        </w:r>
      </w:hyperlink>
      <w:r>
        <w:t xml:space="preserve"> life-strategy-web-accessible.pdf</w:t>
      </w:r>
    </w:p>
    <w:p w14:paraId="27556224" w14:textId="77777777" w:rsidR="002A14F8" w:rsidRDefault="002A14F8">
      <w:pPr>
        <w:pStyle w:val="BodyText"/>
        <w:spacing w:before="10"/>
        <w:rPr>
          <w:sz w:val="20"/>
        </w:rPr>
      </w:pPr>
    </w:p>
    <w:p w14:paraId="11A2CDC2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93"/>
      </w:pPr>
      <w:r>
        <w:t>Cormack D, Harris R, Stanley J. Māori experiences of multiple forms of discrimination:</w:t>
      </w:r>
      <w:r>
        <w:rPr>
          <w:spacing w:val="1"/>
        </w:rPr>
        <w:t xml:space="preserve"> </w:t>
      </w:r>
      <w:r>
        <w:t xml:space="preserve">Findings from Te Kupenga 2013. </w:t>
      </w:r>
      <w:r>
        <w:rPr>
          <w:i/>
        </w:rPr>
        <w:t>Kotuitui: New Zealand Journal of Social Sciences Onl</w:t>
      </w:r>
      <w:r>
        <w:rPr>
          <w:i/>
        </w:rPr>
        <w:t>ine</w:t>
      </w:r>
      <w:r>
        <w:t>.</w:t>
      </w:r>
      <w:r>
        <w:rPr>
          <w:spacing w:val="-52"/>
        </w:rPr>
        <w:t xml:space="preserve"> </w:t>
      </w:r>
      <w:r>
        <w:t>Published</w:t>
      </w:r>
      <w:r>
        <w:rPr>
          <w:spacing w:val="-4"/>
        </w:rPr>
        <w:t xml:space="preserve"> </w:t>
      </w:r>
      <w:r>
        <w:t>online</w:t>
      </w:r>
      <w:r>
        <w:rPr>
          <w:spacing w:val="-2"/>
        </w:rPr>
        <w:t xml:space="preserve"> </w:t>
      </w:r>
      <w:r>
        <w:t>2019:1-17. doi:10.1080/1177083X.2019.1657472</w:t>
      </w:r>
    </w:p>
    <w:p w14:paraId="2DBC3450" w14:textId="77777777" w:rsidR="002A14F8" w:rsidRDefault="002A14F8">
      <w:pPr>
        <w:pStyle w:val="BodyText"/>
        <w:spacing w:before="9"/>
        <w:rPr>
          <w:sz w:val="20"/>
        </w:rPr>
      </w:pPr>
    </w:p>
    <w:p w14:paraId="282FBAAE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69"/>
      </w:pPr>
      <w:r>
        <w:t>Harris R, Stanley J, Cormack D. Racism and health in New Zealand: Prevalence over time and</w:t>
      </w:r>
      <w:r>
        <w:rPr>
          <w:spacing w:val="-52"/>
        </w:rPr>
        <w:t xml:space="preserve"> </w:t>
      </w:r>
      <w:r>
        <w:t>associations between recent experience of racism and health and wellbeing measures using</w:t>
      </w:r>
      <w:r>
        <w:rPr>
          <w:spacing w:val="1"/>
        </w:rPr>
        <w:t xml:space="preserve"> </w:t>
      </w:r>
      <w:r>
        <w:t>national</w:t>
      </w:r>
      <w:r>
        <w:t xml:space="preserve"> survey</w:t>
      </w:r>
      <w:r>
        <w:rPr>
          <w:spacing w:val="-2"/>
        </w:rPr>
        <w:t xml:space="preserve"> </w:t>
      </w:r>
      <w:r>
        <w:t>data.</w:t>
      </w:r>
      <w:r>
        <w:rPr>
          <w:spacing w:val="1"/>
        </w:rPr>
        <w:t xml:space="preserve"> </w:t>
      </w:r>
      <w:r>
        <w:rPr>
          <w:i/>
        </w:rPr>
        <w:t>PLos</w:t>
      </w:r>
      <w:r>
        <w:rPr>
          <w:i/>
          <w:spacing w:val="-5"/>
        </w:rPr>
        <w:t xml:space="preserve"> </w:t>
      </w:r>
      <w:r>
        <w:rPr>
          <w:i/>
        </w:rPr>
        <w:t>ONE</w:t>
      </w:r>
      <w:r>
        <w:t>.</w:t>
      </w:r>
      <w:r>
        <w:rPr>
          <w:spacing w:val="-1"/>
        </w:rPr>
        <w:t xml:space="preserve"> </w:t>
      </w:r>
      <w:r>
        <w:t>13(5):e0196476.</w:t>
      </w:r>
      <w:r>
        <w:rPr>
          <w:spacing w:val="-3"/>
        </w:rPr>
        <w:t xml:space="preserve"> </w:t>
      </w:r>
      <w:r>
        <w:t>doi:10.1371/journal.</w:t>
      </w:r>
      <w:r>
        <w:rPr>
          <w:spacing w:val="-1"/>
        </w:rPr>
        <w:t xml:space="preserve"> </w:t>
      </w:r>
      <w:r>
        <w:t>pone.0196476</w:t>
      </w:r>
    </w:p>
    <w:p w14:paraId="4A1961FA" w14:textId="77777777" w:rsidR="002A14F8" w:rsidRDefault="002A14F8">
      <w:pPr>
        <w:pStyle w:val="BodyText"/>
        <w:spacing w:before="1"/>
        <w:rPr>
          <w:sz w:val="21"/>
        </w:rPr>
      </w:pPr>
    </w:p>
    <w:p w14:paraId="4AD09993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18"/>
      </w:pPr>
      <w:r>
        <w:t>Houkamau CA, Stronge S, Sibley CG. The prevalence and impact of racism toward indigenous</w:t>
      </w:r>
      <w:r>
        <w:rPr>
          <w:spacing w:val="-52"/>
        </w:rPr>
        <w:t xml:space="preserve"> </w:t>
      </w:r>
      <w:r>
        <w:t xml:space="preserve">Māori in New Zealand. </w:t>
      </w:r>
      <w:r>
        <w:rPr>
          <w:i/>
        </w:rPr>
        <w:t>International Perspectives in Psychology: Research, Practice,</w:t>
      </w:r>
      <w:r>
        <w:rPr>
          <w:i/>
          <w:spacing w:val="1"/>
        </w:rPr>
        <w:t xml:space="preserve"> </w:t>
      </w:r>
      <w:r>
        <w:rPr>
          <w:i/>
        </w:rPr>
        <w:t>Consultation</w:t>
      </w:r>
      <w:r>
        <w:t>.</w:t>
      </w:r>
      <w:r>
        <w:rPr>
          <w:spacing w:val="-4"/>
        </w:rPr>
        <w:t xml:space="preserve"> </w:t>
      </w:r>
      <w:r>
        <w:t>2017;6(2):61-80. doi:10.1037/ipp0000070</w:t>
      </w:r>
    </w:p>
    <w:p w14:paraId="3FA06981" w14:textId="77777777" w:rsidR="002A14F8" w:rsidRDefault="002A14F8">
      <w:pPr>
        <w:pStyle w:val="BodyText"/>
        <w:spacing w:before="10"/>
        <w:rPr>
          <w:sz w:val="20"/>
        </w:rPr>
      </w:pPr>
    </w:p>
    <w:p w14:paraId="07FC502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57"/>
      </w:pPr>
      <w:r>
        <w:t>Williams AD, Clark TC, Lewycka S. The associations between cultural identity and mental</w:t>
      </w:r>
      <w:r>
        <w:rPr>
          <w:spacing w:val="-53"/>
        </w:rPr>
        <w:t xml:space="preserve"> </w:t>
      </w:r>
      <w:r>
        <w:t xml:space="preserve">health outcomes for indigenous Māori youth in New Zealand. </w:t>
      </w:r>
      <w:r>
        <w:rPr>
          <w:i/>
        </w:rPr>
        <w:t>Front Public Health</w:t>
      </w:r>
      <w:r>
        <w:t>.</w:t>
      </w:r>
      <w:r>
        <w:rPr>
          <w:spacing w:val="1"/>
        </w:rPr>
        <w:t xml:space="preserve"> </w:t>
      </w:r>
      <w:r>
        <w:t>2018;6:319.</w:t>
      </w:r>
      <w:r>
        <w:rPr>
          <w:spacing w:val="-4"/>
        </w:rPr>
        <w:t xml:space="preserve"> </w:t>
      </w:r>
      <w:r>
        <w:t>doi:10.3389/fpubh.2018.00319</w:t>
      </w:r>
    </w:p>
    <w:p w14:paraId="759CD823" w14:textId="77777777" w:rsidR="002A14F8" w:rsidRDefault="002A14F8">
      <w:pPr>
        <w:pStyle w:val="BodyText"/>
        <w:spacing w:before="9"/>
        <w:rPr>
          <w:sz w:val="20"/>
        </w:rPr>
      </w:pPr>
    </w:p>
    <w:p w14:paraId="1D1CB85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980"/>
      </w:pPr>
      <w:r w:rsidRPr="00967B86">
        <w:rPr>
          <w:lang w:val="fr-CA"/>
        </w:rPr>
        <w:t xml:space="preserve">Brittain E, Tuffin K. Ko tēhea te ara tika? </w:t>
      </w:r>
      <w:r>
        <w:t xml:space="preserve">A </w:t>
      </w:r>
      <w:r>
        <w:t>discourse analysis of Māori experience in the</w:t>
      </w:r>
      <w:r>
        <w:rPr>
          <w:spacing w:val="-52"/>
        </w:rPr>
        <w:t xml:space="preserve"> </w:t>
      </w:r>
      <w:r>
        <w:t>criminal</w:t>
      </w:r>
      <w:r>
        <w:rPr>
          <w:spacing w:val="-3"/>
        </w:rPr>
        <w:t xml:space="preserve"> </w:t>
      </w:r>
      <w:r>
        <w:t>justice</w:t>
      </w:r>
      <w:r>
        <w:rPr>
          <w:spacing w:val="-2"/>
        </w:rPr>
        <w:t xml:space="preserve"> </w:t>
      </w:r>
      <w:r>
        <w:t>system.</w:t>
      </w:r>
      <w:r>
        <w:rPr>
          <w:spacing w:val="1"/>
        </w:rPr>
        <w:t xml:space="preserve"> </w:t>
      </w:r>
      <w:r>
        <w:rPr>
          <w:i/>
        </w:rPr>
        <w:t>New Zealand</w:t>
      </w:r>
      <w:r>
        <w:rPr>
          <w:i/>
          <w:spacing w:val="-3"/>
        </w:rPr>
        <w:t xml:space="preserve"> </w:t>
      </w:r>
      <w:r>
        <w:rPr>
          <w:i/>
        </w:rPr>
        <w:t>Journal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Psychology</w:t>
      </w:r>
      <w:r>
        <w:t>. 2017;46(2):99-107.</w:t>
      </w:r>
    </w:p>
    <w:p w14:paraId="71D8C4BC" w14:textId="77777777" w:rsidR="002A14F8" w:rsidRDefault="002A14F8">
      <w:pPr>
        <w:pStyle w:val="BodyText"/>
        <w:spacing w:before="11"/>
        <w:rPr>
          <w:sz w:val="20"/>
        </w:rPr>
      </w:pPr>
    </w:p>
    <w:p w14:paraId="2400460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37"/>
      </w:pPr>
      <w:r>
        <w:t>Amundsen D. Māori transitions into tertiary educations. Published online 2019. Accessed</w:t>
      </w:r>
      <w:r>
        <w:rPr>
          <w:spacing w:val="1"/>
        </w:rPr>
        <w:t xml:space="preserve"> </w:t>
      </w:r>
      <w:r>
        <w:t>January 28, 2020.</w:t>
      </w:r>
      <w:r>
        <w:rPr>
          <w:spacing w:val="1"/>
        </w:rPr>
        <w:t xml:space="preserve"> </w:t>
      </w:r>
      <w:r>
        <w:rPr>
          <w:spacing w:val="-1"/>
        </w:rPr>
        <w:t>https://researchcommons.</w:t>
      </w:r>
      <w:r>
        <w:rPr>
          <w:spacing w:val="-1"/>
        </w:rPr>
        <w:t>waikato.ac.nz/bitstream/handle/10289/12615/thesis.pdf?sequence=4</w:t>
      </w:r>
      <w:r>
        <w:t xml:space="preserve"> &amp;isAllowed=y</w:t>
      </w:r>
    </w:p>
    <w:p w14:paraId="398C2DF9" w14:textId="77777777" w:rsidR="002A14F8" w:rsidRDefault="002A14F8">
      <w:pPr>
        <w:pStyle w:val="BodyText"/>
        <w:spacing w:before="11"/>
        <w:rPr>
          <w:sz w:val="20"/>
        </w:rPr>
      </w:pPr>
    </w:p>
    <w:p w14:paraId="51CC8DB6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951"/>
      </w:pPr>
      <w:r>
        <w:t xml:space="preserve">Te Huai A. Perspectives towards Māori identity by Māori heritage language learners. </w:t>
      </w:r>
      <w:r>
        <w:rPr>
          <w:i/>
        </w:rPr>
        <w:t>New</w:t>
      </w:r>
      <w:r>
        <w:rPr>
          <w:i/>
          <w:spacing w:val="-52"/>
        </w:rPr>
        <w:t xml:space="preserve"> </w:t>
      </w:r>
      <w:r>
        <w:rPr>
          <w:i/>
        </w:rPr>
        <w:t>Zealand</w:t>
      </w:r>
      <w:r>
        <w:rPr>
          <w:i/>
          <w:spacing w:val="-1"/>
        </w:rPr>
        <w:t xml:space="preserve"> </w:t>
      </w: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Psychology</w:t>
      </w:r>
      <w:r>
        <w:t>. 2015;44(3):18-28.</w:t>
      </w:r>
    </w:p>
    <w:p w14:paraId="2F655A4E" w14:textId="77777777" w:rsidR="002A14F8" w:rsidRDefault="002A14F8">
      <w:pPr>
        <w:pStyle w:val="BodyText"/>
        <w:spacing w:before="8"/>
        <w:rPr>
          <w:sz w:val="20"/>
        </w:rPr>
      </w:pPr>
    </w:p>
    <w:p w14:paraId="5E463E5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hanging="625"/>
      </w:pPr>
      <w:r>
        <w:t>Fitzpatrick</w:t>
      </w:r>
      <w:r>
        <w:rPr>
          <w:spacing w:val="-3"/>
        </w:rPr>
        <w:t xml:space="preserve"> </w:t>
      </w:r>
      <w:r>
        <w:t>M,</w:t>
      </w:r>
      <w:r>
        <w:rPr>
          <w:spacing w:val="-2"/>
        </w:rPr>
        <w:t xml:space="preserve"> </w:t>
      </w:r>
      <w:r>
        <w:t>Berman</w:t>
      </w:r>
      <w:r>
        <w:rPr>
          <w:spacing w:val="-3"/>
        </w:rPr>
        <w:t xml:space="preserve"> </w:t>
      </w:r>
      <w:r>
        <w:t>J.</w:t>
      </w:r>
      <w:r>
        <w:rPr>
          <w:spacing w:val="-1"/>
        </w:rPr>
        <w:t xml:space="preserve"> </w:t>
      </w:r>
      <w:r>
        <w:t>Cultural dissonance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tertiary</w:t>
      </w:r>
      <w:r>
        <w:rPr>
          <w:spacing w:val="-4"/>
        </w:rPr>
        <w:t xml:space="preserve"> </w:t>
      </w:r>
      <w:r>
        <w:t>education:</w:t>
      </w:r>
      <w:r>
        <w:rPr>
          <w:spacing w:val="-3"/>
        </w:rPr>
        <w:t xml:space="preserve"> </w:t>
      </w:r>
      <w:r>
        <w:t>History</w:t>
      </w:r>
      <w:r>
        <w:rPr>
          <w:spacing w:val="-4"/>
        </w:rPr>
        <w:t xml:space="preserve"> </w:t>
      </w:r>
      <w:r>
        <w:t>repeating</w:t>
      </w:r>
      <w:r>
        <w:rPr>
          <w:spacing w:val="-4"/>
        </w:rPr>
        <w:t xml:space="preserve"> </w:t>
      </w:r>
      <w:r>
        <w:t>itself.</w:t>
      </w:r>
    </w:p>
    <w:p w14:paraId="47D2B845" w14:textId="77777777" w:rsidR="002A14F8" w:rsidRDefault="003458B8">
      <w:pPr>
        <w:pStyle w:val="BodyText"/>
        <w:spacing w:before="2"/>
        <w:ind w:left="1164"/>
      </w:pPr>
      <w:r>
        <w:rPr>
          <w:i/>
        </w:rPr>
        <w:t>MAI</w:t>
      </w:r>
      <w:r>
        <w:rPr>
          <w:i/>
          <w:spacing w:val="-4"/>
        </w:rPr>
        <w:t xml:space="preserve"> </w:t>
      </w:r>
      <w:r>
        <w:rPr>
          <w:i/>
        </w:rPr>
        <w:t>Journal</w:t>
      </w:r>
      <w:r>
        <w:t>.</w:t>
      </w:r>
      <w:r>
        <w:rPr>
          <w:spacing w:val="-1"/>
        </w:rPr>
        <w:t xml:space="preserve"> </w:t>
      </w:r>
      <w:r>
        <w:t>2016;5(2):137-149.</w:t>
      </w:r>
      <w:r>
        <w:rPr>
          <w:spacing w:val="-1"/>
        </w:rPr>
        <w:t xml:space="preserve"> </w:t>
      </w:r>
      <w:r>
        <w:t>doi:10.20507/MAIJournal.2016.5.2.4</w:t>
      </w:r>
    </w:p>
    <w:p w14:paraId="79F40408" w14:textId="77777777" w:rsidR="002A14F8" w:rsidRDefault="002A14F8">
      <w:pPr>
        <w:pStyle w:val="BodyText"/>
        <w:spacing w:before="9"/>
        <w:rPr>
          <w:sz w:val="20"/>
        </w:rPr>
      </w:pPr>
    </w:p>
    <w:p w14:paraId="214BA65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39"/>
      </w:pPr>
      <w:r>
        <w:t>Benton C. Rangatahi of Ngāi Te Rangi Iwi: Cultural belonging and connectedness. Published</w:t>
      </w:r>
      <w:r>
        <w:rPr>
          <w:spacing w:val="-52"/>
        </w:rPr>
        <w:t xml:space="preserve"> </w:t>
      </w:r>
      <w:r>
        <w:t>online</w:t>
      </w:r>
      <w:r>
        <w:rPr>
          <w:spacing w:val="-1"/>
        </w:rPr>
        <w:t xml:space="preserve"> </w:t>
      </w:r>
      <w:r>
        <w:t>2019. Accessed Decembe</w:t>
      </w:r>
      <w:r>
        <w:t>r</w:t>
      </w:r>
      <w:r>
        <w:rPr>
          <w:spacing w:val="2"/>
        </w:rPr>
        <w:t xml:space="preserve"> </w:t>
      </w:r>
      <w:r>
        <w:t>24, 2019.</w:t>
      </w:r>
      <w:r>
        <w:rPr>
          <w:spacing w:val="1"/>
        </w:rPr>
        <w:t xml:space="preserve"> </w:t>
      </w:r>
      <w:r>
        <w:rPr>
          <w:spacing w:val="-1"/>
        </w:rPr>
        <w:t>https://researchcommons.waikato.ac.nz/bitstream/handle/10289/12807/thesis.pdf?sequence=4</w:t>
      </w:r>
      <w:r>
        <w:t xml:space="preserve"> &amp;isAllowed=y</w:t>
      </w:r>
    </w:p>
    <w:p w14:paraId="6E39F036" w14:textId="77777777" w:rsidR="002A14F8" w:rsidRDefault="002A14F8">
      <w:pPr>
        <w:pStyle w:val="BodyText"/>
        <w:spacing w:before="10"/>
        <w:rPr>
          <w:sz w:val="20"/>
        </w:rPr>
      </w:pPr>
    </w:p>
    <w:p w14:paraId="3FC12AD3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  <w:tab w:val="left" w:pos="3476"/>
        </w:tabs>
        <w:spacing w:before="1"/>
        <w:ind w:right="639"/>
      </w:pPr>
      <w:r>
        <w:t>Porteous E. Young Māori males experiences in a secondary school context as sporting,</w:t>
      </w:r>
      <w:r>
        <w:rPr>
          <w:spacing w:val="1"/>
        </w:rPr>
        <w:t xml:space="preserve"> </w:t>
      </w:r>
      <w:r>
        <w:t>academic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cultural</w:t>
      </w:r>
      <w:r>
        <w:tab/>
        <w:t>identities. Published online 2016. Accessed January 28, 2020.</w:t>
      </w:r>
      <w:r>
        <w:rPr>
          <w:spacing w:val="1"/>
        </w:rPr>
        <w:t xml:space="preserve"> </w:t>
      </w:r>
      <w:r>
        <w:rPr>
          <w:spacing w:val="-1"/>
        </w:rPr>
        <w:t>https://researchcommons.waikato.ac.nz/bitstream/handle/10289/10602/thesis.pdf?sequence=</w:t>
      </w:r>
      <w:r>
        <w:rPr>
          <w:spacing w:val="-1"/>
        </w:rPr>
        <w:t>4</w:t>
      </w:r>
      <w:r>
        <w:t xml:space="preserve"> &amp;isAllowed=y</w:t>
      </w:r>
    </w:p>
    <w:p w14:paraId="7094A702" w14:textId="77777777" w:rsidR="002A14F8" w:rsidRDefault="002A14F8">
      <w:pPr>
        <w:pStyle w:val="BodyText"/>
        <w:spacing w:before="8"/>
        <w:rPr>
          <w:sz w:val="20"/>
        </w:rPr>
      </w:pPr>
    </w:p>
    <w:p w14:paraId="11D7E713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056"/>
      </w:pPr>
      <w:r>
        <w:t>Taiaroa R, Smith W. Māori students’ experiences of their Māori identity in a Bachelor of</w:t>
      </w:r>
      <w:r>
        <w:rPr>
          <w:spacing w:val="-52"/>
        </w:rPr>
        <w:t xml:space="preserve"> </w:t>
      </w:r>
      <w:r>
        <w:t>Physical Education.</w:t>
      </w:r>
      <w:r>
        <w:rPr>
          <w:spacing w:val="-3"/>
        </w:rPr>
        <w:t xml:space="preserve"> </w:t>
      </w:r>
      <w:r>
        <w:rPr>
          <w:i/>
        </w:rPr>
        <w:t>MAI</w:t>
      </w:r>
      <w:r>
        <w:rPr>
          <w:i/>
          <w:spacing w:val="-1"/>
        </w:rPr>
        <w:t xml:space="preserve"> </w:t>
      </w:r>
      <w:r>
        <w:rPr>
          <w:i/>
        </w:rPr>
        <w:t>Journal</w:t>
      </w:r>
      <w:r>
        <w:t>.</w:t>
      </w:r>
      <w:r>
        <w:rPr>
          <w:spacing w:val="-4"/>
        </w:rPr>
        <w:t xml:space="preserve"> </w:t>
      </w:r>
      <w:r>
        <w:t>2017;6(1).</w:t>
      </w:r>
      <w:r>
        <w:rPr>
          <w:spacing w:val="-1"/>
        </w:rPr>
        <w:t xml:space="preserve"> </w:t>
      </w:r>
      <w:r>
        <w:t>doi:10.20507/MAIJournal.2017.6.1.2</w:t>
      </w:r>
    </w:p>
    <w:p w14:paraId="22C87462" w14:textId="77777777" w:rsidR="002A14F8" w:rsidRDefault="002A14F8">
      <w:pPr>
        <w:pStyle w:val="BodyText"/>
        <w:spacing w:before="11"/>
        <w:rPr>
          <w:sz w:val="20"/>
        </w:rPr>
      </w:pPr>
    </w:p>
    <w:p w14:paraId="7F259B1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124"/>
      </w:pPr>
      <w:r>
        <w:t xml:space="preserve">Ware F, Breheny M, Forster M. Mana mātua: Being young Māori parents. </w:t>
      </w:r>
      <w:r>
        <w:rPr>
          <w:i/>
        </w:rPr>
        <w:t>MA</w:t>
      </w:r>
      <w:r>
        <w:rPr>
          <w:i/>
        </w:rPr>
        <w:t>I Journal</w:t>
      </w:r>
      <w:r>
        <w:t>.</w:t>
      </w:r>
      <w:r>
        <w:rPr>
          <w:spacing w:val="-52"/>
        </w:rPr>
        <w:t xml:space="preserve"> </w:t>
      </w:r>
      <w:r>
        <w:t>2018;7(1).</w:t>
      </w:r>
      <w:r>
        <w:rPr>
          <w:spacing w:val="-1"/>
        </w:rPr>
        <w:t xml:space="preserve"> </w:t>
      </w:r>
      <w:r>
        <w:t>doi:10.20507/MAIJournal.2018.7.1.2</w:t>
      </w:r>
    </w:p>
    <w:p w14:paraId="60BB5968" w14:textId="77777777" w:rsidR="002A14F8" w:rsidRDefault="002A14F8">
      <w:pPr>
        <w:pStyle w:val="BodyText"/>
        <w:spacing w:before="10"/>
        <w:rPr>
          <w:sz w:val="20"/>
        </w:rPr>
      </w:pPr>
    </w:p>
    <w:p w14:paraId="0E61D076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5"/>
        </w:tabs>
        <w:spacing w:before="1"/>
        <w:ind w:right="564"/>
        <w:jc w:val="both"/>
      </w:pPr>
      <w:r>
        <w:t>Dutton HD, Mayeda DT, Keil M, ‘Ofamo‘oni ‘I.- Futa- Helu. “We’re all in it together”: Māori</w:t>
      </w:r>
      <w:r>
        <w:rPr>
          <w:spacing w:val="-52"/>
        </w:rPr>
        <w:t xml:space="preserve"> </w:t>
      </w:r>
      <w:r>
        <w:t>and Pacific student voices on ethnic-specific equity programmes in a New Zealand university.</w:t>
      </w:r>
      <w:r>
        <w:rPr>
          <w:spacing w:val="1"/>
        </w:rPr>
        <w:t xml:space="preserve"> </w:t>
      </w:r>
      <w:r>
        <w:rPr>
          <w:i/>
        </w:rPr>
        <w:t>MAI</w:t>
      </w:r>
      <w:r>
        <w:rPr>
          <w:i/>
          <w:spacing w:val="-3"/>
        </w:rPr>
        <w:t xml:space="preserve"> </w:t>
      </w:r>
      <w:r>
        <w:rPr>
          <w:i/>
        </w:rPr>
        <w:t>Journal</w:t>
      </w:r>
      <w:r>
        <w:t>. 2016;5(1):3-16. doi:10.20507/MAIJournal.2016.5.1.1</w:t>
      </w:r>
    </w:p>
    <w:p w14:paraId="59870500" w14:textId="77777777" w:rsidR="002A14F8" w:rsidRDefault="002A14F8">
      <w:pPr>
        <w:jc w:val="both"/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2BD7AB7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749"/>
      </w:pPr>
      <w:r>
        <w:lastRenderedPageBreak/>
        <w:t>Hewlett M. The experiences of resilience of rangatahi Māori who have been exposed</w:t>
      </w:r>
      <w:r>
        <w:t xml:space="preserve"> to risk.</w:t>
      </w:r>
      <w:r>
        <w:rPr>
          <w:spacing w:val="-52"/>
        </w:rPr>
        <w:t xml:space="preserve"> </w:t>
      </w:r>
      <w:r>
        <w:t>Published</w:t>
      </w:r>
      <w:r>
        <w:rPr>
          <w:spacing w:val="-4"/>
        </w:rPr>
        <w:t xml:space="preserve"> </w:t>
      </w:r>
      <w:r>
        <w:t>online</w:t>
      </w:r>
      <w:r>
        <w:rPr>
          <w:spacing w:val="-2"/>
        </w:rPr>
        <w:t xml:space="preserve"> </w:t>
      </w:r>
      <w:r>
        <w:t>2018.</w:t>
      </w:r>
      <w:r>
        <w:rPr>
          <w:spacing w:val="-1"/>
        </w:rPr>
        <w:t xml:space="preserve"> </w:t>
      </w:r>
      <w:r>
        <w:t>https://ir.canterbury.ac.nz/handle/10092/16657</w:t>
      </w:r>
    </w:p>
    <w:p w14:paraId="0BD8CABF" w14:textId="77777777" w:rsidR="002A14F8" w:rsidRDefault="002A14F8">
      <w:pPr>
        <w:pStyle w:val="BodyText"/>
        <w:spacing w:before="11"/>
        <w:rPr>
          <w:sz w:val="20"/>
        </w:rPr>
      </w:pPr>
    </w:p>
    <w:p w14:paraId="16E6B9D0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996"/>
      </w:pPr>
      <w:r w:rsidRPr="00967B86">
        <w:rPr>
          <w:lang w:val="fr-CA"/>
        </w:rPr>
        <w:t xml:space="preserve">Fox R, Neha T, Jose PE. </w:t>
      </w:r>
      <w:r>
        <w:t>Tū Māori Mai: Māori Cultural Embeddeness Improves Adaptive</w:t>
      </w:r>
      <w:r>
        <w:rPr>
          <w:spacing w:val="-52"/>
        </w:rPr>
        <w:t xml:space="preserve"> </w:t>
      </w:r>
      <w:r>
        <w:t xml:space="preserve">Coping and Wellbeing for Māori Adolescents. </w:t>
      </w:r>
      <w:r>
        <w:rPr>
          <w:i/>
        </w:rPr>
        <w:t>New Zealand Journal of Psychology</w:t>
      </w:r>
      <w:r>
        <w:t>.</w:t>
      </w:r>
      <w:r>
        <w:rPr>
          <w:spacing w:val="1"/>
        </w:rPr>
        <w:t xml:space="preserve"> </w:t>
      </w:r>
      <w:r>
        <w:t>2018;47(2):13</w:t>
      </w:r>
      <w:r>
        <w:t>-23.</w:t>
      </w:r>
    </w:p>
    <w:p w14:paraId="2C730B6C" w14:textId="77777777" w:rsidR="002A14F8" w:rsidRDefault="002A14F8">
      <w:pPr>
        <w:pStyle w:val="BodyText"/>
        <w:spacing w:before="9"/>
        <w:rPr>
          <w:sz w:val="20"/>
        </w:rPr>
      </w:pPr>
    </w:p>
    <w:p w14:paraId="548A042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80"/>
      </w:pPr>
      <w:r>
        <w:t>Matika CM, Manuela S, Muriwai E, Houkamau C, Sibley CG. Cultural Efficacy Predicts</w:t>
      </w:r>
      <w:r>
        <w:rPr>
          <w:spacing w:val="1"/>
        </w:rPr>
        <w:t xml:space="preserve"> </w:t>
      </w:r>
      <w:r>
        <w:t xml:space="preserve">Increased Self Esteem for Māori: The Mediating Effect of Rumination. </w:t>
      </w:r>
      <w:r>
        <w:rPr>
          <w:i/>
        </w:rPr>
        <w:t>New Zealand Journal</w:t>
      </w:r>
      <w:r>
        <w:rPr>
          <w:i/>
          <w:spacing w:val="-52"/>
        </w:rPr>
        <w:t xml:space="preserve"> </w:t>
      </w:r>
      <w:r>
        <w:rPr>
          <w:i/>
        </w:rPr>
        <w:t>of Psychology</w:t>
      </w:r>
      <w:r>
        <w:t>.</w:t>
      </w:r>
      <w:r>
        <w:rPr>
          <w:spacing w:val="-3"/>
        </w:rPr>
        <w:t xml:space="preserve"> </w:t>
      </w:r>
      <w:r>
        <w:t>2017;46(3):175-185.</w:t>
      </w:r>
    </w:p>
    <w:p w14:paraId="4DCF194C" w14:textId="77777777" w:rsidR="002A14F8" w:rsidRDefault="002A14F8">
      <w:pPr>
        <w:pStyle w:val="BodyText"/>
        <w:spacing w:before="10"/>
        <w:rPr>
          <w:sz w:val="20"/>
        </w:rPr>
      </w:pPr>
    </w:p>
    <w:p w14:paraId="1D0A687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043"/>
      </w:pPr>
      <w:r>
        <w:t>Muriwai E, Houkamau C, Sibley CG. Culture as Cure? The Protective Function of Māori</w:t>
      </w:r>
      <w:r>
        <w:rPr>
          <w:spacing w:val="-52"/>
        </w:rPr>
        <w:t xml:space="preserve"> </w:t>
      </w:r>
      <w:r>
        <w:t xml:space="preserve">Cultural Efficacy on Psychological Distress. </w:t>
      </w:r>
      <w:r>
        <w:rPr>
          <w:i/>
        </w:rPr>
        <w:t>New Zealand Journal of Psychology</w:t>
      </w:r>
      <w:r>
        <w:t>.</w:t>
      </w:r>
      <w:r>
        <w:rPr>
          <w:spacing w:val="1"/>
        </w:rPr>
        <w:t xml:space="preserve"> </w:t>
      </w:r>
      <w:r>
        <w:t>2015;44(2):14-24.</w:t>
      </w:r>
    </w:p>
    <w:p w14:paraId="3356F16E" w14:textId="77777777" w:rsidR="002A14F8" w:rsidRDefault="002A14F8">
      <w:pPr>
        <w:pStyle w:val="BodyText"/>
        <w:spacing w:before="9"/>
        <w:rPr>
          <w:sz w:val="20"/>
        </w:rPr>
      </w:pPr>
    </w:p>
    <w:p w14:paraId="2978CC06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line="242" w:lineRule="auto"/>
        <w:ind w:right="1161"/>
      </w:pPr>
      <w:r>
        <w:t xml:space="preserve">Ormond A, Ormond J. An iwi homeland: Country of the heart. </w:t>
      </w:r>
      <w:r>
        <w:rPr>
          <w:i/>
        </w:rPr>
        <w:t>MAI Journal</w:t>
      </w:r>
      <w:r>
        <w:t>. 2</w:t>
      </w:r>
      <w:r>
        <w:t>018;7(1).</w:t>
      </w:r>
      <w:r>
        <w:rPr>
          <w:spacing w:val="-52"/>
        </w:rPr>
        <w:t xml:space="preserve"> </w:t>
      </w:r>
      <w:r>
        <w:t>doi:10.20507/MAIJournal.2018.7.1.7</w:t>
      </w:r>
    </w:p>
    <w:p w14:paraId="1A37CB76" w14:textId="77777777" w:rsidR="002A14F8" w:rsidRDefault="002A14F8">
      <w:pPr>
        <w:pStyle w:val="BodyText"/>
        <w:spacing w:before="6"/>
        <w:rPr>
          <w:sz w:val="20"/>
        </w:rPr>
      </w:pPr>
    </w:p>
    <w:p w14:paraId="69853A1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961"/>
      </w:pPr>
      <w:r>
        <w:t xml:space="preserve">Elkington A. The everyday lives of young Māori fathers: An explorative study. </w:t>
      </w:r>
      <w:r>
        <w:rPr>
          <w:i/>
        </w:rPr>
        <w:t>Journal of</w:t>
      </w:r>
      <w:r>
        <w:rPr>
          <w:i/>
          <w:spacing w:val="-52"/>
        </w:rPr>
        <w:t xml:space="preserve"> </w:t>
      </w:r>
      <w:r>
        <w:rPr>
          <w:i/>
        </w:rPr>
        <w:t>Indigenous</w:t>
      </w:r>
      <w:r>
        <w:rPr>
          <w:i/>
          <w:spacing w:val="-1"/>
        </w:rPr>
        <w:t xml:space="preserve"> </w:t>
      </w:r>
      <w:r>
        <w:rPr>
          <w:i/>
        </w:rPr>
        <w:t>Wellbeing</w:t>
      </w:r>
      <w:r>
        <w:t>. 2017;2(3):3-17.</w:t>
      </w:r>
    </w:p>
    <w:p w14:paraId="371193F7" w14:textId="77777777" w:rsidR="002A14F8" w:rsidRDefault="002A14F8">
      <w:pPr>
        <w:pStyle w:val="BodyText"/>
        <w:spacing w:before="11"/>
        <w:rPr>
          <w:sz w:val="20"/>
        </w:rPr>
      </w:pPr>
    </w:p>
    <w:p w14:paraId="386632E3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28"/>
      </w:pPr>
      <w:r>
        <w:t>Parata K, Gifford H. “It’s good for me and my whānau”: Marae participation as a sp</w:t>
      </w:r>
      <w:r>
        <w:t>ringboard</w:t>
      </w:r>
      <w:r>
        <w:rPr>
          <w:spacing w:val="-5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oranga.</w:t>
      </w:r>
      <w:r>
        <w:rPr>
          <w:spacing w:val="-2"/>
        </w:rPr>
        <w:t xml:space="preserve"> </w:t>
      </w:r>
      <w:r>
        <w:rPr>
          <w:i/>
        </w:rPr>
        <w:t>MAI Journal</w:t>
      </w:r>
      <w:r>
        <w:t>. 2017;6(1).</w:t>
      </w:r>
      <w:r>
        <w:rPr>
          <w:spacing w:val="-4"/>
        </w:rPr>
        <w:t xml:space="preserve"> </w:t>
      </w:r>
      <w:r>
        <w:t>doi:10.20507/MAIJournal.2017.6.1.3</w:t>
      </w:r>
    </w:p>
    <w:p w14:paraId="43BB053B" w14:textId="77777777" w:rsidR="002A14F8" w:rsidRDefault="002A14F8">
      <w:pPr>
        <w:pStyle w:val="BodyText"/>
        <w:spacing w:before="10"/>
        <w:rPr>
          <w:sz w:val="20"/>
        </w:rPr>
      </w:pPr>
    </w:p>
    <w:p w14:paraId="78C48F4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921"/>
      </w:pPr>
      <w:r>
        <w:t>Rua M, Hodgetts D, Stolte O. Māori men: An indigenous psychological perspective on the</w:t>
      </w:r>
      <w:r>
        <w:rPr>
          <w:spacing w:val="-52"/>
        </w:rPr>
        <w:t xml:space="preserve"> </w:t>
      </w:r>
      <w:r>
        <w:t>interconnected</w:t>
      </w:r>
      <w:r>
        <w:rPr>
          <w:spacing w:val="-3"/>
        </w:rPr>
        <w:t xml:space="preserve"> </w:t>
      </w:r>
      <w:r>
        <w:t>self.</w:t>
      </w:r>
      <w:r>
        <w:rPr>
          <w:spacing w:val="1"/>
        </w:rPr>
        <w:t xml:space="preserve"> </w:t>
      </w:r>
      <w:r>
        <w:rPr>
          <w:i/>
        </w:rPr>
        <w:t>New</w:t>
      </w:r>
      <w:r>
        <w:rPr>
          <w:i/>
          <w:spacing w:val="-1"/>
        </w:rPr>
        <w:t xml:space="preserve"> </w:t>
      </w:r>
      <w:r>
        <w:rPr>
          <w:i/>
        </w:rPr>
        <w:t>Zealand</w:t>
      </w:r>
      <w:r>
        <w:rPr>
          <w:i/>
          <w:spacing w:val="-3"/>
        </w:rPr>
        <w:t xml:space="preserve"> </w:t>
      </w:r>
      <w:r>
        <w:rPr>
          <w:i/>
        </w:rPr>
        <w:t>Journal</w:t>
      </w:r>
      <w:r>
        <w:rPr>
          <w:i/>
          <w:spacing w:val="1"/>
        </w:rPr>
        <w:t xml:space="preserve"> </w:t>
      </w:r>
      <w:r>
        <w:rPr>
          <w:i/>
        </w:rPr>
        <w:t>of Psychology</w:t>
      </w:r>
      <w:r>
        <w:t>. 46(3):55-63.</w:t>
      </w:r>
    </w:p>
    <w:p w14:paraId="27BAB29A" w14:textId="77777777" w:rsidR="002A14F8" w:rsidRDefault="002A14F8">
      <w:pPr>
        <w:pStyle w:val="BodyText"/>
        <w:spacing w:before="11"/>
        <w:rPr>
          <w:sz w:val="20"/>
        </w:rPr>
      </w:pPr>
    </w:p>
    <w:p w14:paraId="40627CC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line="252" w:lineRule="exact"/>
        <w:ind w:hanging="625"/>
      </w:pPr>
      <w:r>
        <w:t>Ruru</w:t>
      </w:r>
      <w:r>
        <w:rPr>
          <w:spacing w:val="-2"/>
        </w:rPr>
        <w:t xml:space="preserve"> </w:t>
      </w:r>
      <w:r>
        <w:t>S,</w:t>
      </w:r>
      <w:r>
        <w:rPr>
          <w:spacing w:val="-2"/>
        </w:rPr>
        <w:t xml:space="preserve"> </w:t>
      </w:r>
      <w:r>
        <w:t>Roche</w:t>
      </w:r>
      <w:r>
        <w:rPr>
          <w:spacing w:val="-1"/>
        </w:rPr>
        <w:t xml:space="preserve"> </w:t>
      </w:r>
      <w:r>
        <w:t>M,</w:t>
      </w:r>
      <w:r>
        <w:rPr>
          <w:spacing w:val="-5"/>
        </w:rPr>
        <w:t xml:space="preserve"> </w:t>
      </w:r>
      <w:r>
        <w:t>Waitoki</w:t>
      </w:r>
      <w:r>
        <w:rPr>
          <w:spacing w:val="-3"/>
        </w:rPr>
        <w:t xml:space="preserve"> </w:t>
      </w:r>
      <w:r>
        <w:t>W.</w:t>
      </w:r>
      <w:r>
        <w:rPr>
          <w:spacing w:val="-2"/>
        </w:rPr>
        <w:t xml:space="preserve"> </w:t>
      </w:r>
      <w:r>
        <w:t>Māori</w:t>
      </w:r>
      <w:r>
        <w:rPr>
          <w:spacing w:val="-1"/>
        </w:rPr>
        <w:t xml:space="preserve"> </w:t>
      </w:r>
      <w:r>
        <w:t>women’s</w:t>
      </w:r>
      <w:r>
        <w:rPr>
          <w:spacing w:val="-1"/>
        </w:rPr>
        <w:t xml:space="preserve"> </w:t>
      </w:r>
      <w:r>
        <w:t>perspectives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leadership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wellbeing.</w:t>
      </w:r>
    </w:p>
    <w:p w14:paraId="1D5AFA40" w14:textId="77777777" w:rsidR="002A14F8" w:rsidRDefault="003458B8">
      <w:pPr>
        <w:spacing w:line="252" w:lineRule="exact"/>
        <w:ind w:left="1164"/>
      </w:pP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of Indigenous</w:t>
      </w:r>
      <w:r>
        <w:rPr>
          <w:i/>
          <w:spacing w:val="-1"/>
        </w:rPr>
        <w:t xml:space="preserve"> </w:t>
      </w:r>
      <w:r>
        <w:rPr>
          <w:i/>
        </w:rPr>
        <w:t>Wellbeing</w:t>
      </w:r>
      <w:r>
        <w:t>.</w:t>
      </w:r>
      <w:r>
        <w:rPr>
          <w:spacing w:val="-4"/>
        </w:rPr>
        <w:t xml:space="preserve"> </w:t>
      </w:r>
      <w:r>
        <w:t>2017;2(1):5-14.</w:t>
      </w:r>
    </w:p>
    <w:p w14:paraId="463F360D" w14:textId="77777777" w:rsidR="002A14F8" w:rsidRDefault="002A14F8">
      <w:pPr>
        <w:pStyle w:val="BodyText"/>
        <w:rPr>
          <w:sz w:val="21"/>
        </w:rPr>
      </w:pPr>
    </w:p>
    <w:p w14:paraId="0209718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11"/>
      </w:pPr>
      <w:r>
        <w:t>Herbert S, Stephens C, Forster M. It’s all about Whanaungatanga: Alcohol use and older Māori</w:t>
      </w:r>
      <w:r>
        <w:rPr>
          <w:spacing w:val="-52"/>
        </w:rPr>
        <w:t xml:space="preserve"> </w:t>
      </w:r>
      <w:r>
        <w:t xml:space="preserve">in Aotearoa. </w:t>
      </w:r>
      <w:r>
        <w:rPr>
          <w:i/>
        </w:rPr>
        <w:t>AlterNative: An International Journal of Indigenous Peoples</w:t>
      </w:r>
      <w:r>
        <w:t>. 2018;14(3):200-</w:t>
      </w:r>
      <w:r>
        <w:rPr>
          <w:spacing w:val="1"/>
        </w:rPr>
        <w:t xml:space="preserve"> </w:t>
      </w:r>
      <w:r>
        <w:t>208.</w:t>
      </w:r>
      <w:r>
        <w:rPr>
          <w:spacing w:val="-1"/>
        </w:rPr>
        <w:t xml:space="preserve"> </w:t>
      </w:r>
      <w:r>
        <w:t>doi:10.1177/1177180118785381</w:t>
      </w:r>
    </w:p>
    <w:p w14:paraId="3F553BF5" w14:textId="77777777" w:rsidR="002A14F8" w:rsidRDefault="002A14F8">
      <w:pPr>
        <w:pStyle w:val="BodyText"/>
        <w:spacing w:before="9"/>
        <w:rPr>
          <w:sz w:val="20"/>
        </w:rPr>
      </w:pPr>
    </w:p>
    <w:p w14:paraId="43E9FFC5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519"/>
      </w:pPr>
      <w:r>
        <w:t>Le Grice J, Braun V, Wetherell M. “Wha</w:t>
      </w:r>
      <w:r>
        <w:t>t I reckon is, is that like the love you give to your kids</w:t>
      </w:r>
      <w:r>
        <w:rPr>
          <w:spacing w:val="-52"/>
        </w:rPr>
        <w:t xml:space="preserve"> </w:t>
      </w:r>
      <w:r>
        <w:t>they’ll give to someone else and so on and so on”: Whanaungatanga and mātauranga Māori in</w:t>
      </w:r>
      <w:r>
        <w:rPr>
          <w:spacing w:val="1"/>
        </w:rPr>
        <w:t xml:space="preserve"> </w:t>
      </w:r>
      <w:r>
        <w:t>practice.</w:t>
      </w:r>
      <w:r>
        <w:rPr>
          <w:spacing w:val="-1"/>
        </w:rPr>
        <w:t xml:space="preserve"> </w:t>
      </w:r>
      <w:r>
        <w:rPr>
          <w:i/>
        </w:rPr>
        <w:t>New Zealand Journal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Psychology</w:t>
      </w:r>
      <w:r>
        <w:t>. 88-97;46(3).</w:t>
      </w:r>
    </w:p>
    <w:p w14:paraId="03060A47" w14:textId="77777777" w:rsidR="002A14F8" w:rsidRDefault="002A14F8">
      <w:pPr>
        <w:pStyle w:val="BodyText"/>
        <w:spacing w:before="9"/>
        <w:rPr>
          <w:sz w:val="20"/>
        </w:rPr>
      </w:pPr>
    </w:p>
    <w:p w14:paraId="19C4F3E0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5"/>
        </w:tabs>
        <w:ind w:right="566"/>
        <w:jc w:val="both"/>
      </w:pPr>
      <w:r>
        <w:t>Kingi T, Russell L, Ashby W, The Youth Wellbeing Study team. Mā te mātau, ka ora: The use</w:t>
      </w:r>
      <w:r>
        <w:rPr>
          <w:spacing w:val="-52"/>
        </w:rPr>
        <w:t xml:space="preserve"> </w:t>
      </w:r>
      <w:r>
        <w:t>of traditional Indigenous knowledge to support contemporary rangatahi Māori who self-injure.</w:t>
      </w:r>
      <w:r>
        <w:rPr>
          <w:spacing w:val="-52"/>
        </w:rPr>
        <w:t xml:space="preserve"> </w:t>
      </w:r>
      <w:r>
        <w:rPr>
          <w:i/>
        </w:rPr>
        <w:t>New</w:t>
      </w:r>
      <w:r>
        <w:rPr>
          <w:i/>
          <w:spacing w:val="-1"/>
        </w:rPr>
        <w:t xml:space="preserve"> </w:t>
      </w:r>
      <w:r>
        <w:rPr>
          <w:i/>
        </w:rPr>
        <w:t>Zealand Journal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Psychology</w:t>
      </w:r>
      <w:r>
        <w:t>. 2017;46(3):137-145.</w:t>
      </w:r>
    </w:p>
    <w:p w14:paraId="33CCA70E" w14:textId="77777777" w:rsidR="002A14F8" w:rsidRDefault="002A14F8">
      <w:pPr>
        <w:pStyle w:val="BodyText"/>
        <w:spacing w:before="9"/>
        <w:rPr>
          <w:sz w:val="20"/>
        </w:rPr>
      </w:pPr>
    </w:p>
    <w:p w14:paraId="4D3183E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757"/>
      </w:pPr>
      <w:r>
        <w:t>King P, Robertson</w:t>
      </w:r>
      <w:r>
        <w:t xml:space="preserve"> N. Māori men, relationships, and everyday practices: towards broadening</w:t>
      </w:r>
      <w:r>
        <w:rPr>
          <w:spacing w:val="-52"/>
        </w:rPr>
        <w:t xml:space="preserve"> </w:t>
      </w:r>
      <w:r>
        <w:t xml:space="preserve">domestic violence research. </w:t>
      </w:r>
      <w:r>
        <w:rPr>
          <w:i/>
        </w:rPr>
        <w:t>AlterNative: An International Journal of Indigenous Peoples</w:t>
      </w:r>
      <w:r>
        <w:t>.</w:t>
      </w:r>
      <w:r>
        <w:rPr>
          <w:spacing w:val="1"/>
        </w:rPr>
        <w:t xml:space="preserve"> </w:t>
      </w:r>
      <w:r>
        <w:t>2017;13(4):210-217.</w:t>
      </w:r>
      <w:r>
        <w:rPr>
          <w:spacing w:val="-1"/>
        </w:rPr>
        <w:t xml:space="preserve"> </w:t>
      </w:r>
      <w:r>
        <w:t>doi:10.1177/1177180117729850</w:t>
      </w:r>
    </w:p>
    <w:p w14:paraId="7F9EEBA4" w14:textId="77777777" w:rsidR="002A14F8" w:rsidRDefault="002A14F8">
      <w:pPr>
        <w:pStyle w:val="BodyText"/>
        <w:spacing w:before="10"/>
        <w:rPr>
          <w:sz w:val="20"/>
        </w:rPr>
      </w:pPr>
    </w:p>
    <w:p w14:paraId="0EC2FCE6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43"/>
      </w:pPr>
      <w:r>
        <w:t>Pack S, Tuffin K, Lyons A. Reducing racism a</w:t>
      </w:r>
      <w:r>
        <w:t xml:space="preserve">gainst Māori in Aotearoa New Zealand. </w:t>
      </w:r>
      <w:r>
        <w:rPr>
          <w:i/>
        </w:rPr>
        <w:t>New</w:t>
      </w:r>
      <w:r>
        <w:rPr>
          <w:i/>
          <w:spacing w:val="-52"/>
        </w:rPr>
        <w:t xml:space="preserve"> </w:t>
      </w:r>
      <w:r>
        <w:rPr>
          <w:i/>
        </w:rPr>
        <w:t>Zealand</w:t>
      </w:r>
      <w:r>
        <w:rPr>
          <w:i/>
          <w:spacing w:val="-1"/>
        </w:rPr>
        <w:t xml:space="preserve"> </w:t>
      </w: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Psychology</w:t>
      </w:r>
      <w:r>
        <w:t>. 45(3):30-40.</w:t>
      </w:r>
    </w:p>
    <w:p w14:paraId="696CC304" w14:textId="77777777" w:rsidR="002A14F8" w:rsidRDefault="002A14F8">
      <w:pPr>
        <w:pStyle w:val="BodyText"/>
        <w:spacing w:before="10"/>
        <w:rPr>
          <w:sz w:val="20"/>
        </w:rPr>
      </w:pPr>
    </w:p>
    <w:p w14:paraId="0C826AE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42"/>
      </w:pPr>
      <w:r>
        <w:t>Bold-Wilson P. The injustice, in justice: An examination of the quality of legal representation</w:t>
      </w:r>
      <w:r>
        <w:rPr>
          <w:spacing w:val="-52"/>
        </w:rPr>
        <w:t xml:space="preserve"> </w:t>
      </w:r>
      <w:r>
        <w:t>young Māori men receive in the criminal justice system.</w:t>
      </w:r>
      <w:r>
        <w:rPr>
          <w:spacing w:val="1"/>
        </w:rPr>
        <w:t xml:space="preserve"> </w:t>
      </w:r>
      <w:r>
        <w:t>https://unitec.re</w:t>
      </w:r>
      <w:r>
        <w:t>searchbank.ac.nz/handle/10652/4170</w:t>
      </w:r>
    </w:p>
    <w:p w14:paraId="024B58AA" w14:textId="77777777" w:rsidR="002A14F8" w:rsidRDefault="002A14F8">
      <w:pPr>
        <w:pStyle w:val="BodyText"/>
        <w:spacing w:before="9"/>
        <w:rPr>
          <w:sz w:val="20"/>
        </w:rPr>
      </w:pPr>
    </w:p>
    <w:p w14:paraId="1F952F3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751"/>
      </w:pPr>
      <w:r>
        <w:t xml:space="preserve">Cliffe-Tautari T. Transitory Māori Identities—Māori students shape-shifting like Māui. </w:t>
      </w:r>
      <w:r>
        <w:rPr>
          <w:i/>
        </w:rPr>
        <w:t>MAI</w:t>
      </w:r>
      <w:r>
        <w:rPr>
          <w:i/>
          <w:spacing w:val="-52"/>
        </w:rPr>
        <w:t xml:space="preserve"> </w:t>
      </w:r>
      <w:r>
        <w:rPr>
          <w:i/>
        </w:rPr>
        <w:t>Journal</w:t>
      </w:r>
      <w:r>
        <w:t>.</w:t>
      </w:r>
      <w:r>
        <w:rPr>
          <w:spacing w:val="-1"/>
        </w:rPr>
        <w:t xml:space="preserve"> </w:t>
      </w:r>
      <w:r>
        <w:t>2019;8(2). doi:10.20507/MAIJournal.2019.8.2.8</w:t>
      </w:r>
    </w:p>
    <w:p w14:paraId="39408F45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7CC52F7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829"/>
      </w:pPr>
      <w:r>
        <w:lastRenderedPageBreak/>
        <w:t>Mihaere R. A Kaupapa Māori analysis of the use of Māori cultural identity in the prison</w:t>
      </w:r>
      <w:r>
        <w:rPr>
          <w:spacing w:val="1"/>
        </w:rPr>
        <w:t xml:space="preserve"> </w:t>
      </w:r>
      <w:r>
        <w:t>system.</w:t>
      </w:r>
      <w:r>
        <w:rPr>
          <w:spacing w:val="-5"/>
        </w:rPr>
        <w:t xml:space="preserve"> </w:t>
      </w:r>
      <w:r>
        <w:t>Published</w:t>
      </w:r>
      <w:r>
        <w:rPr>
          <w:spacing w:val="-5"/>
        </w:rPr>
        <w:t xml:space="preserve"> </w:t>
      </w:r>
      <w:r>
        <w:t>online</w:t>
      </w:r>
      <w:r>
        <w:rPr>
          <w:spacing w:val="-5"/>
        </w:rPr>
        <w:t xml:space="preserve"> </w:t>
      </w:r>
      <w:r>
        <w:t>2015.</w:t>
      </w:r>
      <w:r>
        <w:rPr>
          <w:spacing w:val="-5"/>
        </w:rPr>
        <w:t xml:space="preserve"> </w:t>
      </w:r>
      <w:r>
        <w:t>https://researcharchive.vuw.ac.nz/xmlui/handle/10063/4185</w:t>
      </w:r>
    </w:p>
    <w:p w14:paraId="33B9F90A" w14:textId="77777777" w:rsidR="002A14F8" w:rsidRDefault="002A14F8">
      <w:pPr>
        <w:pStyle w:val="BodyText"/>
        <w:spacing w:before="11"/>
        <w:rPr>
          <w:sz w:val="20"/>
        </w:rPr>
      </w:pPr>
    </w:p>
    <w:p w14:paraId="0093B932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5"/>
        </w:tabs>
        <w:ind w:right="536"/>
        <w:jc w:val="both"/>
      </w:pPr>
      <w:r w:rsidRPr="00967B86">
        <w:rPr>
          <w:lang w:val="fr-CA"/>
        </w:rPr>
        <w:t xml:space="preserve">Oetzel JG, Hokowhitu B, Simpson M, et al. </w:t>
      </w:r>
      <w:r>
        <w:t>Kaumātua Mana Motuhake: A study prot</w:t>
      </w:r>
      <w:r>
        <w:t>ocol for a</w:t>
      </w:r>
      <w:r>
        <w:rPr>
          <w:spacing w:val="-52"/>
        </w:rPr>
        <w:t xml:space="preserve"> </w:t>
      </w:r>
      <w:r>
        <w:t xml:space="preserve">peer education intervention to help Māori elders work through later-stage life transitions. </w:t>
      </w:r>
      <w:r>
        <w:rPr>
          <w:i/>
        </w:rPr>
        <w:t>BMC</w:t>
      </w:r>
      <w:r>
        <w:rPr>
          <w:i/>
          <w:spacing w:val="-52"/>
        </w:rPr>
        <w:t xml:space="preserve"> </w:t>
      </w:r>
      <w:r>
        <w:rPr>
          <w:i/>
        </w:rPr>
        <w:t>Geriatr</w:t>
      </w:r>
      <w:r>
        <w:t>.</w:t>
      </w:r>
      <w:r>
        <w:rPr>
          <w:spacing w:val="-1"/>
        </w:rPr>
        <w:t xml:space="preserve"> </w:t>
      </w:r>
      <w:r>
        <w:t>2019;19(1):36. doi:10.1186/s12877-019-1041-2</w:t>
      </w:r>
    </w:p>
    <w:p w14:paraId="3E346E5C" w14:textId="77777777" w:rsidR="002A14F8" w:rsidRDefault="002A14F8">
      <w:pPr>
        <w:pStyle w:val="BodyText"/>
        <w:spacing w:before="9"/>
        <w:rPr>
          <w:sz w:val="20"/>
        </w:rPr>
      </w:pPr>
    </w:p>
    <w:p w14:paraId="7C7A85E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60"/>
      </w:pPr>
      <w:r>
        <w:t>Baty TA. The impact of colonisation on the Māori Community: An exploration of the attitudes</w:t>
      </w:r>
      <w:r>
        <w:rPr>
          <w:spacing w:val="-52"/>
        </w:rPr>
        <w:t xml:space="preserve"> </w:t>
      </w:r>
      <w:r>
        <w:t>and perspectives held by Māori in relation to the active reclamation of Māori sovereignty/Tino</w:t>
      </w:r>
      <w:r>
        <w:rPr>
          <w:spacing w:val="-52"/>
        </w:rPr>
        <w:t xml:space="preserve"> </w:t>
      </w:r>
      <w:r>
        <w:t>Rangatiratanga. Published online 2018.</w:t>
      </w:r>
      <w:r>
        <w:rPr>
          <w:spacing w:val="1"/>
        </w:rPr>
        <w:t xml:space="preserve"> </w:t>
      </w:r>
      <w:r>
        <w:t>https://researchcommons.waikat</w:t>
      </w:r>
      <w:r>
        <w:t>o.ac.nz/handle/10289/12331</w:t>
      </w:r>
    </w:p>
    <w:p w14:paraId="0370DDD9" w14:textId="77777777" w:rsidR="002A14F8" w:rsidRDefault="002A14F8">
      <w:pPr>
        <w:pStyle w:val="BodyText"/>
        <w:rPr>
          <w:sz w:val="21"/>
        </w:rPr>
      </w:pPr>
    </w:p>
    <w:p w14:paraId="1BFB6DF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92"/>
      </w:pPr>
      <w:r>
        <w:t>Hond R, Ratima M, Edwards W. The role of Māori community gardens in health promotion: a</w:t>
      </w:r>
      <w:r>
        <w:rPr>
          <w:spacing w:val="-52"/>
        </w:rPr>
        <w:t xml:space="preserve"> </w:t>
      </w:r>
      <w:r>
        <w:t xml:space="preserve">land-based community development response by Tangata Whenua, people of their land. </w:t>
      </w:r>
      <w:r>
        <w:rPr>
          <w:i/>
        </w:rPr>
        <w:t>Glob</w:t>
      </w:r>
      <w:r>
        <w:rPr>
          <w:i/>
          <w:spacing w:val="1"/>
        </w:rPr>
        <w:t xml:space="preserve"> </w:t>
      </w:r>
      <w:r>
        <w:rPr>
          <w:i/>
        </w:rPr>
        <w:t>Health</w:t>
      </w:r>
      <w:r>
        <w:rPr>
          <w:i/>
          <w:spacing w:val="-4"/>
        </w:rPr>
        <w:t xml:space="preserve"> </w:t>
      </w:r>
      <w:r>
        <w:rPr>
          <w:i/>
        </w:rPr>
        <w:t>Promot</w:t>
      </w:r>
      <w:r>
        <w:t>. 2019;26(3_suppl):44-53. doi:10.1177/1</w:t>
      </w:r>
      <w:r>
        <w:t>757975919831603</w:t>
      </w:r>
    </w:p>
    <w:p w14:paraId="17B6E6BD" w14:textId="77777777" w:rsidR="002A14F8" w:rsidRDefault="002A14F8">
      <w:pPr>
        <w:pStyle w:val="BodyText"/>
        <w:spacing w:before="10"/>
        <w:rPr>
          <w:sz w:val="20"/>
        </w:rPr>
      </w:pPr>
    </w:p>
    <w:p w14:paraId="5EBEAF1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17"/>
      </w:pPr>
      <w:r>
        <w:t>Peters MH. Reclaiming the Māori language for future generations: Flax root perspectives.</w:t>
      </w:r>
      <w:r>
        <w:rPr>
          <w:spacing w:val="1"/>
        </w:rPr>
        <w:t xml:space="preserve"> </w:t>
      </w:r>
      <w:r>
        <w:t>Published online 2014.</w:t>
      </w:r>
      <w:r>
        <w:rPr>
          <w:spacing w:val="1"/>
        </w:rPr>
        <w:t xml:space="preserve"> </w:t>
      </w:r>
      <w:r>
        <w:rPr>
          <w:spacing w:val="-1"/>
        </w:rPr>
        <w:t>https://researchcommons.waikato.ac.nz/bitstream/handle/10289/8766/thesis.pdf?sequence=3&amp;i</w:t>
      </w:r>
      <w:r>
        <w:t xml:space="preserve"> sAllowed=y</w:t>
      </w:r>
    </w:p>
    <w:p w14:paraId="5450A5D4" w14:textId="77777777" w:rsidR="002A14F8" w:rsidRDefault="002A14F8">
      <w:pPr>
        <w:pStyle w:val="BodyText"/>
        <w:spacing w:before="11"/>
        <w:rPr>
          <w:sz w:val="20"/>
        </w:rPr>
      </w:pPr>
    </w:p>
    <w:p w14:paraId="34F69BFE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39"/>
      </w:pPr>
      <w:r>
        <w:t>Waller AL. Ora Kainga Rua</w:t>
      </w:r>
      <w:r>
        <w:t>: Experiences of kura kaupapa Māori graduates. Published online</w:t>
      </w:r>
      <w:r>
        <w:rPr>
          <w:spacing w:val="-52"/>
        </w:rPr>
        <w:t xml:space="preserve"> </w:t>
      </w:r>
      <w:r>
        <w:t>2016.</w:t>
      </w:r>
      <w:r>
        <w:rPr>
          <w:spacing w:val="1"/>
        </w:rPr>
        <w:t xml:space="preserve"> </w:t>
      </w:r>
      <w:r>
        <w:rPr>
          <w:spacing w:val="-1"/>
        </w:rPr>
        <w:t>https://researchcommons.waikato.ac.nz/bitstream/handle/10289/10735/thesis.pdf?sequence=7</w:t>
      </w:r>
      <w:r>
        <w:t xml:space="preserve"> &amp;isAllowed=y</w:t>
      </w:r>
    </w:p>
    <w:p w14:paraId="73CB4147" w14:textId="77777777" w:rsidR="002A14F8" w:rsidRDefault="002A14F8">
      <w:pPr>
        <w:pStyle w:val="BodyText"/>
        <w:spacing w:before="8"/>
        <w:rPr>
          <w:sz w:val="20"/>
        </w:rPr>
      </w:pPr>
    </w:p>
    <w:p w14:paraId="5794311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91"/>
      </w:pPr>
      <w:r>
        <w:t>Young PTW. Cultural learning in young Maori offenders and their families: A prelimi</w:t>
      </w:r>
      <w:r>
        <w:t>nary</w:t>
      </w:r>
      <w:r>
        <w:rPr>
          <w:spacing w:val="-52"/>
        </w:rPr>
        <w:t xml:space="preserve"> </w:t>
      </w:r>
      <w:r>
        <w:t>model.</w:t>
      </w:r>
      <w:r>
        <w:rPr>
          <w:spacing w:val="-5"/>
        </w:rPr>
        <w:t xml:space="preserve"> </w:t>
      </w:r>
      <w:r>
        <w:t>Published</w:t>
      </w:r>
      <w:r>
        <w:rPr>
          <w:spacing w:val="-7"/>
        </w:rPr>
        <w:t xml:space="preserve"> </w:t>
      </w:r>
      <w:r>
        <w:t>online</w:t>
      </w:r>
      <w:r>
        <w:rPr>
          <w:spacing w:val="-6"/>
        </w:rPr>
        <w:t xml:space="preserve"> </w:t>
      </w:r>
      <w:r>
        <w:t>2014.</w:t>
      </w:r>
      <w:r>
        <w:rPr>
          <w:spacing w:val="-4"/>
        </w:rPr>
        <w:t xml:space="preserve"> </w:t>
      </w:r>
      <w:r>
        <w:t>https://researcharchive.vuw.ac.nz/xmlui/handle/10063/3631</w:t>
      </w:r>
    </w:p>
    <w:p w14:paraId="6B2CE3CC" w14:textId="77777777" w:rsidR="002A14F8" w:rsidRDefault="002A14F8">
      <w:pPr>
        <w:pStyle w:val="BodyText"/>
        <w:spacing w:before="11"/>
        <w:rPr>
          <w:sz w:val="20"/>
        </w:rPr>
      </w:pPr>
    </w:p>
    <w:p w14:paraId="342C072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81"/>
      </w:pPr>
      <w:r>
        <w:t>Stevenson K, Filoche S, Cram F, Lawton B. Lived realities: Birthing experiences of Māori</w:t>
      </w:r>
      <w:r>
        <w:rPr>
          <w:spacing w:val="1"/>
        </w:rPr>
        <w:t xml:space="preserve"> </w:t>
      </w:r>
      <w:r>
        <w:t xml:space="preserve">women under 20 years of age. </w:t>
      </w:r>
      <w:r>
        <w:rPr>
          <w:i/>
        </w:rPr>
        <w:t>AlterNative: An International Journal of Indigenous Peoples</w:t>
      </w:r>
      <w:r>
        <w:t>.</w:t>
      </w:r>
      <w:r>
        <w:rPr>
          <w:spacing w:val="-52"/>
        </w:rPr>
        <w:t xml:space="preserve"> </w:t>
      </w:r>
      <w:r>
        <w:t>2016;12(2):124-137.</w:t>
      </w:r>
      <w:r>
        <w:rPr>
          <w:spacing w:val="-1"/>
        </w:rPr>
        <w:t xml:space="preserve"> </w:t>
      </w:r>
      <w:r>
        <w:t>doi:10.20507/AlterNative.2016.12.2.2</w:t>
      </w:r>
    </w:p>
    <w:p w14:paraId="181AB7A3" w14:textId="77777777" w:rsidR="002A14F8" w:rsidRDefault="002A14F8">
      <w:pPr>
        <w:pStyle w:val="BodyText"/>
        <w:spacing w:before="10"/>
        <w:rPr>
          <w:sz w:val="20"/>
        </w:rPr>
      </w:pPr>
    </w:p>
    <w:p w14:paraId="5403AD9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65"/>
      </w:pPr>
      <w:r>
        <w:t>Came H, McCreanor T</w:t>
      </w:r>
      <w:r>
        <w:t>, Haenga-Collins M, Cornes R. Māori and Pasifika leaders’ experiences</w:t>
      </w:r>
      <w:r>
        <w:rPr>
          <w:spacing w:val="-52"/>
        </w:rPr>
        <w:t xml:space="preserve"> </w:t>
      </w:r>
      <w:r>
        <w:t xml:space="preserve">of government health advisory groups in New Zealand. </w:t>
      </w:r>
      <w:r>
        <w:rPr>
          <w:i/>
        </w:rPr>
        <w:t>Kōtuitui: New Zealand Journal of</w:t>
      </w:r>
      <w:r>
        <w:rPr>
          <w:i/>
          <w:spacing w:val="1"/>
        </w:rPr>
        <w:t xml:space="preserve"> </w:t>
      </w:r>
      <w:r>
        <w:rPr>
          <w:i/>
        </w:rPr>
        <w:t>Social Sciences</w:t>
      </w:r>
      <w:r>
        <w:rPr>
          <w:i/>
          <w:spacing w:val="-1"/>
        </w:rPr>
        <w:t xml:space="preserve"> </w:t>
      </w:r>
      <w:r>
        <w:rPr>
          <w:i/>
        </w:rPr>
        <w:t>Online</w:t>
      </w:r>
      <w:r>
        <w:t>.</w:t>
      </w:r>
      <w:r>
        <w:rPr>
          <w:spacing w:val="-1"/>
        </w:rPr>
        <w:t xml:space="preserve"> </w:t>
      </w:r>
      <w:r>
        <w:t>2019;14(1):126-135.</w:t>
      </w:r>
      <w:r>
        <w:rPr>
          <w:spacing w:val="-1"/>
        </w:rPr>
        <w:t xml:space="preserve"> </w:t>
      </w:r>
      <w:r>
        <w:t>doi:10.1080/1177083X.2018.1561477</w:t>
      </w:r>
    </w:p>
    <w:p w14:paraId="2C27A811" w14:textId="77777777" w:rsidR="002A14F8" w:rsidRDefault="002A14F8">
      <w:pPr>
        <w:pStyle w:val="BodyText"/>
        <w:spacing w:before="9"/>
        <w:rPr>
          <w:sz w:val="20"/>
        </w:rPr>
      </w:pPr>
    </w:p>
    <w:p w14:paraId="086753B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12"/>
      </w:pPr>
      <w:r>
        <w:t>Dallas-Katoa W, Varona G, Kipa M, Dallas R, Leahy H. Summary findings of an exploratory</w:t>
      </w:r>
      <w:r>
        <w:rPr>
          <w:spacing w:val="1"/>
        </w:rPr>
        <w:t xml:space="preserve"> </w:t>
      </w:r>
      <w:r>
        <w:t xml:space="preserve">data gathering exercise on Māori suicide in Te Waipounamu. </w:t>
      </w:r>
      <w:r>
        <w:rPr>
          <w:i/>
        </w:rPr>
        <w:t>Journal of Indigenous Wellbeing</w:t>
      </w:r>
      <w:r>
        <w:t>.</w:t>
      </w:r>
      <w:r>
        <w:rPr>
          <w:spacing w:val="-52"/>
        </w:rPr>
        <w:t xml:space="preserve"> </w:t>
      </w:r>
      <w:r>
        <w:t>4(1):49-60.</w:t>
      </w:r>
    </w:p>
    <w:p w14:paraId="7F036E84" w14:textId="77777777" w:rsidR="002A14F8" w:rsidRDefault="002A14F8">
      <w:pPr>
        <w:pStyle w:val="BodyText"/>
        <w:rPr>
          <w:sz w:val="21"/>
        </w:rPr>
      </w:pPr>
    </w:p>
    <w:p w14:paraId="41B3B26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774"/>
      </w:pPr>
      <w:r>
        <w:t xml:space="preserve">Gillon A, Cormack D, Borell </w:t>
      </w:r>
      <w:r>
        <w:t xml:space="preserve">B. Oh, you don’t look Māori: Socially assigned ethnicity. </w:t>
      </w:r>
      <w:r>
        <w:rPr>
          <w:i/>
        </w:rPr>
        <w:t>MAI</w:t>
      </w:r>
      <w:r>
        <w:rPr>
          <w:i/>
          <w:spacing w:val="-52"/>
        </w:rPr>
        <w:t xml:space="preserve"> </w:t>
      </w:r>
      <w:r>
        <w:rPr>
          <w:i/>
        </w:rPr>
        <w:t>Journal</w:t>
      </w:r>
      <w:r>
        <w:t>.</w:t>
      </w:r>
      <w:r>
        <w:rPr>
          <w:spacing w:val="-1"/>
        </w:rPr>
        <w:t xml:space="preserve"> </w:t>
      </w:r>
      <w:r>
        <w:t>2019;8(2). doi:10.20507/MAIJournal.2019.8.2.3</w:t>
      </w:r>
    </w:p>
    <w:p w14:paraId="25CF8AA9" w14:textId="77777777" w:rsidR="002A14F8" w:rsidRDefault="002A14F8">
      <w:pPr>
        <w:pStyle w:val="BodyText"/>
        <w:spacing w:before="7"/>
        <w:rPr>
          <w:sz w:val="20"/>
        </w:rPr>
      </w:pPr>
    </w:p>
    <w:p w14:paraId="26073130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hanging="625"/>
      </w:pPr>
      <w:r>
        <w:t>Rata</w:t>
      </w:r>
      <w:r>
        <w:rPr>
          <w:spacing w:val="-1"/>
        </w:rPr>
        <w:t xml:space="preserve"> </w:t>
      </w:r>
      <w:r>
        <w:t>A.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Māori</w:t>
      </w:r>
      <w:r>
        <w:rPr>
          <w:spacing w:val="1"/>
        </w:rPr>
        <w:t xml:space="preserve"> </w:t>
      </w:r>
      <w:r>
        <w:t>Identity</w:t>
      </w:r>
      <w:r>
        <w:rPr>
          <w:spacing w:val="-6"/>
        </w:rPr>
        <w:t xml:space="preserve"> </w:t>
      </w:r>
      <w:r>
        <w:t>Migration</w:t>
      </w:r>
      <w:r>
        <w:rPr>
          <w:spacing w:val="-3"/>
        </w:rPr>
        <w:t xml:space="preserve"> </w:t>
      </w:r>
      <w:r>
        <w:t xml:space="preserve">Model. </w:t>
      </w:r>
      <w:r>
        <w:rPr>
          <w:i/>
        </w:rPr>
        <w:t>MAI</w:t>
      </w:r>
      <w:r>
        <w:rPr>
          <w:i/>
          <w:spacing w:val="-2"/>
        </w:rPr>
        <w:t xml:space="preserve"> </w:t>
      </w:r>
      <w:r>
        <w:rPr>
          <w:i/>
        </w:rPr>
        <w:t>Journal</w:t>
      </w:r>
      <w:r>
        <w:t>.</w:t>
      </w:r>
      <w:r>
        <w:rPr>
          <w:spacing w:val="-4"/>
        </w:rPr>
        <w:t xml:space="preserve"> </w:t>
      </w:r>
      <w:r>
        <w:t>2015;4(1):12.</w:t>
      </w:r>
    </w:p>
    <w:p w14:paraId="7CF6D653" w14:textId="77777777" w:rsidR="002A14F8" w:rsidRDefault="002A14F8">
      <w:pPr>
        <w:pStyle w:val="BodyText"/>
        <w:rPr>
          <w:sz w:val="21"/>
        </w:rPr>
      </w:pPr>
    </w:p>
    <w:p w14:paraId="248930D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26"/>
      </w:pPr>
      <w:r>
        <w:t>Basnet S. Feelings of home and belonging amongst Bhutanese women a</w:t>
      </w:r>
      <w:r>
        <w:t>nd girls with refugee</w:t>
      </w:r>
      <w:r>
        <w:rPr>
          <w:spacing w:val="-52"/>
        </w:rPr>
        <w:t xml:space="preserve"> </w:t>
      </w:r>
      <w:r>
        <w:t>backgrounds</w:t>
      </w:r>
      <w:r>
        <w:rPr>
          <w:spacing w:val="-1"/>
        </w:rPr>
        <w:t xml:space="preserve"> </w:t>
      </w:r>
      <w:r>
        <w:t>who live in New Zealand.</w:t>
      </w:r>
      <w:r>
        <w:rPr>
          <w:spacing w:val="-1"/>
        </w:rPr>
        <w:t xml:space="preserve"> </w:t>
      </w:r>
      <w:r>
        <w:t>Published online 2018.</w:t>
      </w:r>
    </w:p>
    <w:p w14:paraId="3E230677" w14:textId="77777777" w:rsidR="002A14F8" w:rsidRDefault="002A14F8">
      <w:pPr>
        <w:pStyle w:val="BodyText"/>
        <w:spacing w:before="10"/>
        <w:rPr>
          <w:sz w:val="20"/>
        </w:rPr>
      </w:pPr>
    </w:p>
    <w:p w14:paraId="60BBC7B7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 w:line="252" w:lineRule="exact"/>
        <w:ind w:hanging="625"/>
      </w:pPr>
      <w:r>
        <w:t>Zhang</w:t>
      </w:r>
      <w:r>
        <w:rPr>
          <w:spacing w:val="-3"/>
        </w:rPr>
        <w:t xml:space="preserve"> </w:t>
      </w:r>
      <w:r>
        <w:t>X.</w:t>
      </w:r>
      <w:r>
        <w:rPr>
          <w:spacing w:val="-1"/>
        </w:rPr>
        <w:t xml:space="preserve"> </w:t>
      </w:r>
      <w:r>
        <w:t>Chinese</w:t>
      </w:r>
      <w:r>
        <w:rPr>
          <w:spacing w:val="-3"/>
        </w:rPr>
        <w:t xml:space="preserve"> </w:t>
      </w:r>
      <w:r>
        <w:t>international</w:t>
      </w:r>
      <w:r>
        <w:rPr>
          <w:spacing w:val="-2"/>
        </w:rPr>
        <w:t xml:space="preserve"> </w:t>
      </w:r>
      <w:r>
        <w:t>students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New Zealand:</w:t>
      </w:r>
      <w:r>
        <w:rPr>
          <w:spacing w:val="-3"/>
        </w:rPr>
        <w:t xml:space="preserve"> </w:t>
      </w:r>
      <w:r>
        <w:t>Views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citizenship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democracy.</w:t>
      </w:r>
    </w:p>
    <w:p w14:paraId="1EE99212" w14:textId="77777777" w:rsidR="002A14F8" w:rsidRDefault="003458B8">
      <w:pPr>
        <w:spacing w:line="252" w:lineRule="exact"/>
        <w:ind w:left="413" w:right="821"/>
        <w:jc w:val="center"/>
      </w:pPr>
      <w:r>
        <w:rPr>
          <w:i/>
        </w:rPr>
        <w:t>Citizenship</w:t>
      </w:r>
      <w:r>
        <w:rPr>
          <w:i/>
          <w:spacing w:val="-5"/>
        </w:rPr>
        <w:t xml:space="preserve"> </w:t>
      </w:r>
      <w:r>
        <w:rPr>
          <w:i/>
        </w:rPr>
        <w:t>Teaching &amp;</w:t>
      </w:r>
      <w:r>
        <w:rPr>
          <w:i/>
          <w:spacing w:val="-7"/>
        </w:rPr>
        <w:t xml:space="preserve"> </w:t>
      </w:r>
      <w:r>
        <w:rPr>
          <w:i/>
        </w:rPr>
        <w:t>Learning</w:t>
      </w:r>
      <w:r>
        <w:t>.</w:t>
      </w:r>
      <w:r>
        <w:rPr>
          <w:spacing w:val="-1"/>
        </w:rPr>
        <w:t xml:space="preserve"> </w:t>
      </w:r>
      <w:r>
        <w:t>2018;13(2):241-252.</w:t>
      </w:r>
      <w:r>
        <w:rPr>
          <w:spacing w:val="-1"/>
        </w:rPr>
        <w:t xml:space="preserve"> </w:t>
      </w:r>
      <w:r>
        <w:t>doi:10.1386/ctl.13.2.241_1</w:t>
      </w:r>
    </w:p>
    <w:p w14:paraId="0195872C" w14:textId="77777777" w:rsidR="002A14F8" w:rsidRDefault="002A14F8">
      <w:pPr>
        <w:pStyle w:val="BodyText"/>
        <w:spacing w:before="8"/>
        <w:rPr>
          <w:sz w:val="20"/>
        </w:rPr>
      </w:pPr>
    </w:p>
    <w:p w14:paraId="606F532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1104"/>
      </w:pPr>
      <w:r>
        <w:t>Gardner TM, Krägeloh CU, Henning MA. Religious coping, stress, and quality of life of</w:t>
      </w:r>
      <w:r>
        <w:rPr>
          <w:spacing w:val="-52"/>
        </w:rPr>
        <w:t xml:space="preserve"> </w:t>
      </w:r>
      <w:r>
        <w:t xml:space="preserve">Muslim university students in New Zealand. </w:t>
      </w:r>
      <w:r>
        <w:rPr>
          <w:i/>
        </w:rPr>
        <w:t>Mental Health, Religion &amp; Culture</w:t>
      </w:r>
      <w:r>
        <w:t>.</w:t>
      </w:r>
      <w:r>
        <w:rPr>
          <w:spacing w:val="1"/>
        </w:rPr>
        <w:t xml:space="preserve"> </w:t>
      </w:r>
      <w:r>
        <w:t>2014;17(4):327-338.</w:t>
      </w:r>
      <w:r>
        <w:rPr>
          <w:spacing w:val="-1"/>
        </w:rPr>
        <w:t xml:space="preserve"> </w:t>
      </w:r>
      <w:r>
        <w:t>doi:10.1080/13674676.2013.804044</w:t>
      </w:r>
    </w:p>
    <w:p w14:paraId="29D6443B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1C0465C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1080"/>
      </w:pPr>
      <w:r>
        <w:lastRenderedPageBreak/>
        <w:t>Joseph MGC. Indians in Aotearoa New Zealand: A study of migrant social networks and</w:t>
      </w:r>
      <w:r>
        <w:rPr>
          <w:spacing w:val="-52"/>
        </w:rPr>
        <w:t xml:space="preserve"> </w:t>
      </w:r>
      <w:r>
        <w:t>integration</w:t>
      </w:r>
      <w:r>
        <w:rPr>
          <w:spacing w:val="-1"/>
        </w:rPr>
        <w:t xml:space="preserve"> </w:t>
      </w:r>
      <w:r>
        <w:t>through an</w:t>
      </w:r>
      <w:r>
        <w:rPr>
          <w:spacing w:val="-2"/>
        </w:rPr>
        <w:t xml:space="preserve"> </w:t>
      </w:r>
      <w:r>
        <w:t>assmblage lens. Published</w:t>
      </w:r>
      <w:r>
        <w:rPr>
          <w:spacing w:val="-4"/>
        </w:rPr>
        <w:t xml:space="preserve"> </w:t>
      </w:r>
      <w:r>
        <w:t>online 2017.</w:t>
      </w:r>
    </w:p>
    <w:p w14:paraId="6FC21F32" w14:textId="77777777" w:rsidR="002A14F8" w:rsidRDefault="002A14F8">
      <w:pPr>
        <w:pStyle w:val="BodyText"/>
        <w:spacing w:before="11"/>
        <w:rPr>
          <w:sz w:val="20"/>
        </w:rPr>
      </w:pPr>
    </w:p>
    <w:p w14:paraId="0533A413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248"/>
      </w:pPr>
      <w:r>
        <w:t>Cassim S. Oceans away: Sri Lankan migrants in New Zealand - Explorations of hybrid</w:t>
      </w:r>
      <w:r>
        <w:rPr>
          <w:spacing w:val="-52"/>
        </w:rPr>
        <w:t xml:space="preserve"> </w:t>
      </w:r>
      <w:r>
        <w:t>identiti</w:t>
      </w:r>
      <w:r>
        <w:t>es,</w:t>
      </w:r>
      <w:r>
        <w:rPr>
          <w:spacing w:val="-1"/>
        </w:rPr>
        <w:t xml:space="preserve"> </w:t>
      </w:r>
      <w:r>
        <w:t>distance &amp;</w:t>
      </w:r>
      <w:r>
        <w:rPr>
          <w:spacing w:val="-2"/>
        </w:rPr>
        <w:t xml:space="preserve"> </w:t>
      </w:r>
      <w:r>
        <w:t>everyday material</w:t>
      </w:r>
      <w:r>
        <w:rPr>
          <w:spacing w:val="-3"/>
        </w:rPr>
        <w:t xml:space="preserve"> </w:t>
      </w:r>
      <w:r>
        <w:t>practices. Published</w:t>
      </w:r>
      <w:r>
        <w:rPr>
          <w:spacing w:val="-4"/>
        </w:rPr>
        <w:t xml:space="preserve"> </w:t>
      </w:r>
      <w:r>
        <w:t>online</w:t>
      </w:r>
      <w:r>
        <w:rPr>
          <w:spacing w:val="-2"/>
        </w:rPr>
        <w:t xml:space="preserve"> </w:t>
      </w:r>
      <w:r>
        <w:t>2017.</w:t>
      </w:r>
    </w:p>
    <w:p w14:paraId="292A1763" w14:textId="77777777" w:rsidR="002A14F8" w:rsidRDefault="002A14F8">
      <w:pPr>
        <w:pStyle w:val="BodyText"/>
        <w:spacing w:before="10"/>
        <w:rPr>
          <w:sz w:val="20"/>
        </w:rPr>
      </w:pPr>
    </w:p>
    <w:p w14:paraId="4ED00A6E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34"/>
      </w:pPr>
      <w:r>
        <w:t>Shurmer VKT. Asian New Zealanders: Identity, belonging and political participation.</w:t>
      </w:r>
      <w:r>
        <w:rPr>
          <w:spacing w:val="1"/>
        </w:rPr>
        <w:t xml:space="preserve"> </w:t>
      </w:r>
      <w:r>
        <w:t>Published online 2017. Accessed February 26, 2020.</w:t>
      </w:r>
      <w:r>
        <w:rPr>
          <w:spacing w:val="1"/>
        </w:rPr>
        <w:t xml:space="preserve"> </w:t>
      </w:r>
      <w:r>
        <w:rPr>
          <w:spacing w:val="-1"/>
        </w:rPr>
        <w:t>https://ir.canterbury.ac.nz/bitstream/handle/10092/13</w:t>
      </w:r>
      <w:r>
        <w:rPr>
          <w:spacing w:val="-1"/>
        </w:rPr>
        <w:t>559/Shurmer%2C%20Vivian_Masters%2</w:t>
      </w:r>
      <w:r>
        <w:t xml:space="preserve"> 0Thesis.pdf?sequence=1</w:t>
      </w:r>
    </w:p>
    <w:p w14:paraId="1E2CF328" w14:textId="77777777" w:rsidR="002A14F8" w:rsidRDefault="002A14F8">
      <w:pPr>
        <w:pStyle w:val="BodyText"/>
        <w:spacing w:before="9"/>
        <w:rPr>
          <w:sz w:val="20"/>
        </w:rPr>
      </w:pPr>
    </w:p>
    <w:p w14:paraId="3D790D2A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42"/>
      </w:pPr>
      <w:r>
        <w:t>Kale A, Kindon S, Stupples P. ‘I Am a New Zealand Citizen Now—This Is My Home’:</w:t>
      </w:r>
      <w:r>
        <w:rPr>
          <w:spacing w:val="1"/>
        </w:rPr>
        <w:t xml:space="preserve"> </w:t>
      </w:r>
      <w:r>
        <w:t xml:space="preserve">Refugee Citizenship and Belonging in a Post-colonizing Country. </w:t>
      </w:r>
      <w:r>
        <w:rPr>
          <w:i/>
        </w:rPr>
        <w:t>Journal of Refugee Studies</w:t>
      </w:r>
      <w:r>
        <w:t>.</w:t>
      </w:r>
      <w:r>
        <w:rPr>
          <w:spacing w:val="-52"/>
        </w:rPr>
        <w:t xml:space="preserve"> </w:t>
      </w:r>
      <w:r>
        <w:t>Published</w:t>
      </w:r>
      <w:r>
        <w:rPr>
          <w:spacing w:val="-4"/>
        </w:rPr>
        <w:t xml:space="preserve"> </w:t>
      </w:r>
      <w:r>
        <w:t>online November</w:t>
      </w:r>
      <w:r>
        <w:rPr>
          <w:spacing w:val="1"/>
        </w:rPr>
        <w:t xml:space="preserve"> </w:t>
      </w:r>
      <w:r>
        <w:t>6,</w:t>
      </w:r>
      <w:r>
        <w:rPr>
          <w:spacing w:val="-1"/>
        </w:rPr>
        <w:t xml:space="preserve"> </w:t>
      </w:r>
      <w:r>
        <w:t>2018:fey060. doi:10.1093/jrs/fey060</w:t>
      </w:r>
    </w:p>
    <w:p w14:paraId="67FAD09C" w14:textId="77777777" w:rsidR="002A14F8" w:rsidRDefault="002A14F8">
      <w:pPr>
        <w:pStyle w:val="BodyText"/>
        <w:spacing w:before="9"/>
        <w:rPr>
          <w:sz w:val="20"/>
        </w:rPr>
      </w:pPr>
    </w:p>
    <w:p w14:paraId="1C21CE0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54"/>
      </w:pPr>
      <w:r>
        <w:t>Kale A. Building attachments to places of settlement: A holistic approach to refugee wellbeing</w:t>
      </w:r>
      <w:r>
        <w:rPr>
          <w:spacing w:val="-52"/>
        </w:rPr>
        <w:t xml:space="preserve"> </w:t>
      </w:r>
      <w:r>
        <w:t xml:space="preserve">in Nelson, Aotearoa New Zealand. </w:t>
      </w:r>
      <w:r>
        <w:rPr>
          <w:i/>
        </w:rPr>
        <w:t>Journal of Environmental Psychology</w:t>
      </w:r>
      <w:r>
        <w:t>. 2019;65:101315.</w:t>
      </w:r>
      <w:r>
        <w:rPr>
          <w:spacing w:val="1"/>
        </w:rPr>
        <w:t xml:space="preserve"> </w:t>
      </w:r>
      <w:r>
        <w:t>doi:10.1016/j.jenvp</w:t>
      </w:r>
      <w:r>
        <w:t>.2019.101315</w:t>
      </w:r>
    </w:p>
    <w:p w14:paraId="57E9EF2F" w14:textId="77777777" w:rsidR="002A14F8" w:rsidRDefault="002A14F8">
      <w:pPr>
        <w:pStyle w:val="BodyText"/>
        <w:spacing w:before="1"/>
        <w:rPr>
          <w:sz w:val="21"/>
        </w:rPr>
      </w:pPr>
    </w:p>
    <w:p w14:paraId="4489B597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5"/>
        </w:tabs>
        <w:ind w:right="790"/>
        <w:jc w:val="both"/>
      </w:pPr>
      <w:r>
        <w:t>Sampson J, Marlowe J, de Haan I, Bartley A. Resettlement journeys: A pathway to success?</w:t>
      </w:r>
      <w:r>
        <w:rPr>
          <w:spacing w:val="-53"/>
        </w:rPr>
        <w:t xml:space="preserve"> </w:t>
      </w:r>
      <w:r>
        <w:t>An analysis of the experiences of young people from refugee backgrounds in Aotearoa New</w:t>
      </w:r>
      <w:r>
        <w:rPr>
          <w:spacing w:val="-52"/>
        </w:rPr>
        <w:t xml:space="preserve"> </w:t>
      </w:r>
      <w:r>
        <w:t>Zealand’s</w:t>
      </w:r>
      <w:r>
        <w:rPr>
          <w:spacing w:val="-1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system. 2016;31(1):18.</w:t>
      </w:r>
    </w:p>
    <w:p w14:paraId="720841B0" w14:textId="77777777" w:rsidR="002A14F8" w:rsidRDefault="002A14F8">
      <w:pPr>
        <w:pStyle w:val="BodyText"/>
        <w:spacing w:before="10"/>
        <w:rPr>
          <w:sz w:val="20"/>
        </w:rPr>
      </w:pPr>
    </w:p>
    <w:p w14:paraId="41CCE2FD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53"/>
      </w:pPr>
      <w:r>
        <w:t>Handapangoda WS. Identity production on social media: The narrative of second-generation</w:t>
      </w:r>
      <w:r>
        <w:rPr>
          <w:spacing w:val="-52"/>
        </w:rPr>
        <w:t xml:space="preserve"> </w:t>
      </w:r>
      <w:r>
        <w:t>youth of Sinhalese Sri Lankan origi</w:t>
      </w:r>
      <w:r>
        <w:t xml:space="preserve">n in New Zealand. </w:t>
      </w:r>
      <w:r>
        <w:rPr>
          <w:i/>
        </w:rPr>
        <w:t>JNZS</w:t>
      </w:r>
      <w:r>
        <w:t>. 2015;(21):37-52.</w:t>
      </w:r>
      <w:r>
        <w:rPr>
          <w:spacing w:val="1"/>
        </w:rPr>
        <w:t xml:space="preserve"> </w:t>
      </w:r>
      <w:r>
        <w:t>doi:10.26686/jnzs.v0i21.3905</w:t>
      </w:r>
    </w:p>
    <w:p w14:paraId="6C2CED08" w14:textId="77777777" w:rsidR="002A14F8" w:rsidRDefault="002A14F8">
      <w:pPr>
        <w:pStyle w:val="BodyText"/>
        <w:spacing w:before="9"/>
        <w:rPr>
          <w:sz w:val="20"/>
        </w:rPr>
      </w:pPr>
    </w:p>
    <w:p w14:paraId="128E460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33"/>
      </w:pPr>
      <w:r>
        <w:t>Habte MT. “Once you move, it’s a different story”: The meaning of home for 1.5 generation</w:t>
      </w:r>
      <w:r>
        <w:rPr>
          <w:spacing w:val="1"/>
        </w:rPr>
        <w:t xml:space="preserve"> </w:t>
      </w:r>
      <w:r>
        <w:t>Afghan women of refugee background living in Christchurch, New Zealand. Published online</w:t>
      </w:r>
      <w:r>
        <w:rPr>
          <w:spacing w:val="-52"/>
        </w:rPr>
        <w:t xml:space="preserve"> </w:t>
      </w:r>
      <w:r>
        <w:t>2017.</w:t>
      </w:r>
    </w:p>
    <w:p w14:paraId="7721CA77" w14:textId="77777777" w:rsidR="002A14F8" w:rsidRDefault="002A14F8">
      <w:pPr>
        <w:pStyle w:val="BodyText"/>
        <w:spacing w:before="10"/>
        <w:rPr>
          <w:sz w:val="20"/>
        </w:rPr>
      </w:pPr>
    </w:p>
    <w:p w14:paraId="6661397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92"/>
      </w:pPr>
      <w:r>
        <w:t>Kim H, Agee MN. ‘Where are you from?’ Identity as a key to parenting by 1.5 generation</w:t>
      </w:r>
      <w:r>
        <w:rPr>
          <w:spacing w:val="1"/>
        </w:rPr>
        <w:t xml:space="preserve"> </w:t>
      </w:r>
      <w:r>
        <w:t xml:space="preserve">Korean-New Zealand migrants and implications for counselling. </w:t>
      </w:r>
      <w:r>
        <w:rPr>
          <w:i/>
        </w:rPr>
        <w:t>British Journal of Guidance</w:t>
      </w:r>
      <w:r>
        <w:rPr>
          <w:i/>
          <w:spacing w:val="-52"/>
        </w:rPr>
        <w:t xml:space="preserve"> </w:t>
      </w:r>
      <w:r>
        <w:rPr>
          <w:i/>
        </w:rPr>
        <w:t>&amp;</w:t>
      </w:r>
      <w:r>
        <w:rPr>
          <w:i/>
          <w:spacing w:val="-5"/>
        </w:rPr>
        <w:t xml:space="preserve"> </w:t>
      </w:r>
      <w:r>
        <w:rPr>
          <w:i/>
        </w:rPr>
        <w:t>Counselling</w:t>
      </w:r>
      <w:r>
        <w:t>. 2019;47(1):35-49. doi:10.1080/03069885.2018.1457770</w:t>
      </w:r>
    </w:p>
    <w:p w14:paraId="3AE60BA8" w14:textId="77777777" w:rsidR="002A14F8" w:rsidRDefault="002A14F8">
      <w:pPr>
        <w:pStyle w:val="BodyText"/>
        <w:rPr>
          <w:sz w:val="21"/>
        </w:rPr>
      </w:pPr>
    </w:p>
    <w:p w14:paraId="2659F0D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5"/>
        </w:tabs>
        <w:spacing w:before="1"/>
        <w:ind w:right="701"/>
        <w:jc w:val="both"/>
      </w:pPr>
      <w:r>
        <w:t>anonymous.</w:t>
      </w:r>
      <w:r>
        <w:t xml:space="preserve"> Muslim and gay: seeking identity coherence in New Zealand. </w:t>
      </w:r>
      <w:r>
        <w:rPr>
          <w:i/>
        </w:rPr>
        <w:t>Culture, Health &amp;</w:t>
      </w:r>
      <w:r>
        <w:rPr>
          <w:i/>
          <w:spacing w:val="-52"/>
        </w:rPr>
        <w:t xml:space="preserve"> </w:t>
      </w:r>
      <w:r>
        <w:rPr>
          <w:i/>
        </w:rPr>
        <w:t>Sexuality</w:t>
      </w:r>
      <w:r>
        <w:t>.</w:t>
      </w:r>
      <w:r>
        <w:rPr>
          <w:spacing w:val="-1"/>
        </w:rPr>
        <w:t xml:space="preserve"> </w:t>
      </w:r>
      <w:r>
        <w:t>2016;18(3):280-293. doi:10.1080/13691058.2015.1079927</w:t>
      </w:r>
    </w:p>
    <w:p w14:paraId="63785206" w14:textId="77777777" w:rsidR="002A14F8" w:rsidRDefault="002A14F8">
      <w:pPr>
        <w:pStyle w:val="BodyText"/>
        <w:spacing w:before="8"/>
        <w:rPr>
          <w:sz w:val="20"/>
        </w:rPr>
      </w:pPr>
    </w:p>
    <w:p w14:paraId="19EF90B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44"/>
      </w:pPr>
      <w:r>
        <w:t>Hussain Y. ‘I know my roots are Indian but my thinking is Kiwi’: hybridisation, identity and</w:t>
      </w:r>
      <w:r>
        <w:rPr>
          <w:spacing w:val="-52"/>
        </w:rPr>
        <w:t xml:space="preserve"> </w:t>
      </w:r>
      <w:r>
        <w:t>‘Indians’ in New Ze</w:t>
      </w:r>
      <w:r>
        <w:t xml:space="preserve">aland. </w:t>
      </w:r>
      <w:r>
        <w:rPr>
          <w:i/>
        </w:rPr>
        <w:t>South Asian Diaspora</w:t>
      </w:r>
      <w:r>
        <w:t>. 2019;11(1):1-15.</w:t>
      </w:r>
      <w:r>
        <w:rPr>
          <w:spacing w:val="1"/>
        </w:rPr>
        <w:t xml:space="preserve"> </w:t>
      </w:r>
      <w:r>
        <w:t>doi:10.1080/19438192.2018.1464697</w:t>
      </w:r>
    </w:p>
    <w:p w14:paraId="168E87FB" w14:textId="77777777" w:rsidR="002A14F8" w:rsidRDefault="002A14F8">
      <w:pPr>
        <w:pStyle w:val="BodyText"/>
        <w:rPr>
          <w:sz w:val="21"/>
        </w:rPr>
      </w:pPr>
    </w:p>
    <w:p w14:paraId="75036C1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334"/>
      </w:pPr>
      <w:r>
        <w:t>Chan A, Spoonley P. The politics and construction of identity and childhood: Chinese</w:t>
      </w:r>
      <w:r>
        <w:rPr>
          <w:spacing w:val="-52"/>
        </w:rPr>
        <w:t xml:space="preserve"> </w:t>
      </w:r>
      <w:r>
        <w:t xml:space="preserve">immigrant families in New Zealand. </w:t>
      </w:r>
      <w:r>
        <w:rPr>
          <w:i/>
        </w:rPr>
        <w:t>Global Studies of Childhood</w:t>
      </w:r>
      <w:r>
        <w:t>. 2017;7(1):17-28.</w:t>
      </w:r>
      <w:r>
        <w:rPr>
          <w:spacing w:val="1"/>
        </w:rPr>
        <w:t xml:space="preserve"> </w:t>
      </w:r>
      <w:r>
        <w:t>doi:10.1177/2043610617694730</w:t>
      </w:r>
    </w:p>
    <w:p w14:paraId="1F55B7BF" w14:textId="77777777" w:rsidR="002A14F8" w:rsidRDefault="002A14F8">
      <w:pPr>
        <w:pStyle w:val="BodyText"/>
        <w:spacing w:before="10"/>
        <w:rPr>
          <w:sz w:val="20"/>
        </w:rPr>
      </w:pPr>
    </w:p>
    <w:p w14:paraId="3676DFB2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60"/>
      </w:pPr>
      <w:r>
        <w:t>Cunningham U, King J. Language, ethnicity, and belonging for the children of migrants in</w:t>
      </w:r>
      <w:r>
        <w:rPr>
          <w:spacing w:val="1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Zealand.</w:t>
      </w:r>
      <w:r>
        <w:rPr>
          <w:spacing w:val="-1"/>
        </w:rPr>
        <w:t xml:space="preserve"> </w:t>
      </w:r>
      <w:r>
        <w:rPr>
          <w:i/>
        </w:rPr>
        <w:t>SAGE</w:t>
      </w:r>
      <w:r>
        <w:rPr>
          <w:i/>
          <w:spacing w:val="-2"/>
        </w:rPr>
        <w:t xml:space="preserve"> </w:t>
      </w:r>
      <w:r>
        <w:rPr>
          <w:i/>
        </w:rPr>
        <w:t>Open</w:t>
      </w:r>
      <w:r>
        <w:t>.</w:t>
      </w:r>
      <w:r>
        <w:rPr>
          <w:spacing w:val="-4"/>
        </w:rPr>
        <w:t xml:space="preserve"> </w:t>
      </w:r>
      <w:r>
        <w:t>2018;8(2):215824401878257.</w:t>
      </w:r>
      <w:r>
        <w:rPr>
          <w:spacing w:val="-2"/>
        </w:rPr>
        <w:t xml:space="preserve"> </w:t>
      </w:r>
      <w:r>
        <w:t>doi:10.1177/2158244018782571</w:t>
      </w:r>
    </w:p>
    <w:p w14:paraId="09708A2E" w14:textId="77777777" w:rsidR="002A14F8" w:rsidRDefault="002A14F8">
      <w:pPr>
        <w:pStyle w:val="BodyText"/>
        <w:spacing w:before="10"/>
        <w:rPr>
          <w:sz w:val="20"/>
        </w:rPr>
      </w:pPr>
    </w:p>
    <w:p w14:paraId="3D71CA5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564"/>
      </w:pPr>
      <w:r>
        <w:t>Dunlop-Bennett E. Through their eyes: A Samoan perspective on child wellbeing. Published</w:t>
      </w:r>
      <w:r>
        <w:rPr>
          <w:spacing w:val="1"/>
        </w:rPr>
        <w:t xml:space="preserve"> </w:t>
      </w:r>
      <w:r>
        <w:t>online 2018.</w:t>
      </w:r>
      <w:r>
        <w:rPr>
          <w:spacing w:val="1"/>
        </w:rPr>
        <w:t xml:space="preserve"> </w:t>
      </w:r>
      <w:r>
        <w:rPr>
          <w:spacing w:val="-1"/>
        </w:rPr>
        <w:t>https://ourarchive.otago.ac.nz/bitstream/handle/10523/9242/DunlopBennettEmma2019PhD.pd</w:t>
      </w:r>
      <w:r>
        <w:t xml:space="preserve"> f?sequence=4&amp;isAllowed=y</w:t>
      </w:r>
    </w:p>
    <w:p w14:paraId="516D792D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6FCE84F1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717"/>
      </w:pPr>
      <w:r>
        <w:lastRenderedPageBreak/>
        <w:t>Togiaso J. Narratives of</w:t>
      </w:r>
      <w:r>
        <w:t xml:space="preserve"> Samoan women who established A’oga Amata in Christchurch New</w:t>
      </w:r>
      <w:r>
        <w:rPr>
          <w:spacing w:val="-52"/>
        </w:rPr>
        <w:t xml:space="preserve"> </w:t>
      </w:r>
      <w:r>
        <w:t>Zealand.</w:t>
      </w:r>
      <w:r>
        <w:rPr>
          <w:spacing w:val="-1"/>
        </w:rPr>
        <w:t xml:space="preserve"> </w:t>
      </w:r>
      <w:r>
        <w:t>Published</w:t>
      </w:r>
      <w:r>
        <w:rPr>
          <w:spacing w:val="-3"/>
        </w:rPr>
        <w:t xml:space="preserve"> </w:t>
      </w:r>
      <w:r>
        <w:t>online</w:t>
      </w:r>
      <w:r>
        <w:rPr>
          <w:spacing w:val="-2"/>
        </w:rPr>
        <w:t xml:space="preserve"> </w:t>
      </w:r>
      <w:r>
        <w:t>2017.</w:t>
      </w:r>
    </w:p>
    <w:p w14:paraId="60CF0A55" w14:textId="77777777" w:rsidR="002A14F8" w:rsidRDefault="002A14F8">
      <w:pPr>
        <w:pStyle w:val="BodyText"/>
        <w:spacing w:before="11"/>
        <w:rPr>
          <w:sz w:val="20"/>
        </w:rPr>
      </w:pPr>
    </w:p>
    <w:p w14:paraId="01CC579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48"/>
      </w:pPr>
      <w:r>
        <w:t>Dash S, Taylor T, Ofanoa M, Taufa N. Conceptualisations of deliberate self-harm as it occurs</w:t>
      </w:r>
      <w:r>
        <w:rPr>
          <w:spacing w:val="-52"/>
        </w:rPr>
        <w:t xml:space="preserve"> </w:t>
      </w:r>
      <w:r>
        <w:t xml:space="preserve">within the context of Pacific populations living in New Zealand. </w:t>
      </w:r>
      <w:r>
        <w:rPr>
          <w:i/>
        </w:rPr>
        <w:t>New</w:t>
      </w:r>
      <w:r>
        <w:rPr>
          <w:i/>
        </w:rPr>
        <w:t xml:space="preserve"> Zealand Journal of</w:t>
      </w:r>
      <w:r>
        <w:rPr>
          <w:i/>
          <w:spacing w:val="1"/>
        </w:rPr>
        <w:t xml:space="preserve"> </w:t>
      </w:r>
      <w:r>
        <w:rPr>
          <w:i/>
        </w:rPr>
        <w:t>Psychology</w:t>
      </w:r>
      <w:r>
        <w:t>.</w:t>
      </w:r>
      <w:r>
        <w:rPr>
          <w:spacing w:val="-1"/>
        </w:rPr>
        <w:t xml:space="preserve"> </w:t>
      </w:r>
      <w:r>
        <w:t>2017;46(3):11.</w:t>
      </w:r>
    </w:p>
    <w:p w14:paraId="1749073C" w14:textId="77777777" w:rsidR="002A14F8" w:rsidRDefault="002A14F8">
      <w:pPr>
        <w:pStyle w:val="BodyText"/>
        <w:spacing w:before="9"/>
        <w:rPr>
          <w:sz w:val="20"/>
        </w:rPr>
      </w:pPr>
    </w:p>
    <w:p w14:paraId="67A7584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1036"/>
      </w:pPr>
      <w:r>
        <w:t>Puna ET, Tiatia-Seath J. Defining positive mental wellbeing for New Zealand-born Cook</w:t>
      </w:r>
      <w:r>
        <w:rPr>
          <w:spacing w:val="-52"/>
        </w:rPr>
        <w:t xml:space="preserve"> </w:t>
      </w:r>
      <w:r>
        <w:t>Islands</w:t>
      </w:r>
      <w:r>
        <w:rPr>
          <w:spacing w:val="-1"/>
        </w:rPr>
        <w:t xml:space="preserve"> </w:t>
      </w:r>
      <w:r>
        <w:t xml:space="preserve">youth. </w:t>
      </w:r>
      <w:r>
        <w:rPr>
          <w:i/>
        </w:rPr>
        <w:t>Journal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Indigenous</w:t>
      </w:r>
      <w:r>
        <w:rPr>
          <w:i/>
          <w:spacing w:val="-1"/>
        </w:rPr>
        <w:t xml:space="preserve"> </w:t>
      </w:r>
      <w:r>
        <w:rPr>
          <w:i/>
        </w:rPr>
        <w:t>Wellbeing</w:t>
      </w:r>
      <w:r>
        <w:t>.</w:t>
      </w:r>
      <w:r>
        <w:rPr>
          <w:spacing w:val="-3"/>
        </w:rPr>
        <w:t xml:space="preserve"> </w:t>
      </w:r>
      <w:r>
        <w:t>2017;2(1):97-107.</w:t>
      </w:r>
    </w:p>
    <w:p w14:paraId="19F341BD" w14:textId="77777777" w:rsidR="002A14F8" w:rsidRDefault="002A14F8">
      <w:pPr>
        <w:pStyle w:val="BodyText"/>
        <w:spacing w:before="11"/>
        <w:rPr>
          <w:sz w:val="20"/>
        </w:rPr>
      </w:pPr>
    </w:p>
    <w:p w14:paraId="242DB93E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36"/>
      </w:pPr>
      <w:r>
        <w:t>Lee J. Asian migrant women’s identity negotiation as la</w:t>
      </w:r>
      <w:r>
        <w:t>nguage learners: Significant events</w:t>
      </w:r>
      <w:r>
        <w:rPr>
          <w:spacing w:val="1"/>
        </w:rPr>
        <w:t xml:space="preserve"> </w:t>
      </w:r>
      <w:r>
        <w:t>towards imagined identities. Published online 2016. Accessed February 26, 2020.</w:t>
      </w:r>
      <w:r>
        <w:rPr>
          <w:spacing w:val="1"/>
        </w:rPr>
        <w:t xml:space="preserve"> </w:t>
      </w:r>
      <w:r>
        <w:rPr>
          <w:spacing w:val="-1"/>
        </w:rPr>
        <w:t>https://researchcommons.waikato.ac.nz/bitstream/handle/10289/10698/thesis.pdf?sequence=3</w:t>
      </w:r>
      <w:r>
        <w:t xml:space="preserve"> &amp;isAllowed=y</w:t>
      </w:r>
    </w:p>
    <w:p w14:paraId="0928413D" w14:textId="77777777" w:rsidR="002A14F8" w:rsidRDefault="002A14F8">
      <w:pPr>
        <w:pStyle w:val="BodyText"/>
        <w:spacing w:before="8"/>
        <w:rPr>
          <w:sz w:val="20"/>
        </w:rPr>
      </w:pPr>
    </w:p>
    <w:p w14:paraId="685B8019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01"/>
      </w:pPr>
      <w:r>
        <w:t>Tan KH. Voices of Chinese international students on racism at a New Zealand university.</w:t>
      </w:r>
      <w:r>
        <w:rPr>
          <w:spacing w:val="1"/>
        </w:rPr>
        <w:t xml:space="preserve"> </w:t>
      </w:r>
      <w:r>
        <w:t>Published online 2016.</w:t>
      </w:r>
      <w:r>
        <w:rPr>
          <w:spacing w:val="1"/>
        </w:rPr>
        <w:t xml:space="preserve"> </w:t>
      </w:r>
      <w:r>
        <w:rPr>
          <w:spacing w:val="-1"/>
        </w:rPr>
        <w:t>https://</w:t>
      </w:r>
      <w:hyperlink r:id="rId58">
        <w:r>
          <w:rPr>
            <w:spacing w:val="-1"/>
          </w:rPr>
          <w:t>www.researchgate.net/publicati</w:t>
        </w:r>
        <w:r>
          <w:rPr>
            <w:spacing w:val="-1"/>
          </w:rPr>
          <w:t>on/338844416_Voices_of_Chinese_international_stude</w:t>
        </w:r>
      </w:hyperlink>
      <w:r>
        <w:t xml:space="preserve"> nts_on_racism_at_a_New_Zealand_universitty</w:t>
      </w:r>
    </w:p>
    <w:p w14:paraId="194E2F1A" w14:textId="77777777" w:rsidR="002A14F8" w:rsidRDefault="002A14F8">
      <w:pPr>
        <w:pStyle w:val="BodyText"/>
        <w:rPr>
          <w:sz w:val="21"/>
        </w:rPr>
      </w:pPr>
    </w:p>
    <w:p w14:paraId="6771C120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04"/>
      </w:pPr>
      <w:r>
        <w:t>Kukatlapalli J. A study of the adjustment experiences of Indian international students in New</w:t>
      </w:r>
      <w:r>
        <w:rPr>
          <w:spacing w:val="-53"/>
        </w:rPr>
        <w:t xml:space="preserve"> </w:t>
      </w:r>
      <w:r>
        <w:t>Zealand universities. Published online 2016.</w:t>
      </w:r>
      <w:r>
        <w:rPr>
          <w:spacing w:val="1"/>
        </w:rPr>
        <w:t xml:space="preserve"> </w:t>
      </w:r>
      <w:hyperlink r:id="rId59">
        <w:r>
          <w:t>http://research</w:t>
        </w:r>
        <w:r>
          <w:t>archive.vuw.ac.nz/bitstream/handle/10063/4967/thesis.pdf?sequence=1</w:t>
        </w:r>
      </w:hyperlink>
    </w:p>
    <w:p w14:paraId="120AC9CF" w14:textId="77777777" w:rsidR="002A14F8" w:rsidRDefault="002A14F8">
      <w:pPr>
        <w:pStyle w:val="BodyText"/>
        <w:spacing w:before="10"/>
        <w:rPr>
          <w:sz w:val="20"/>
        </w:rPr>
      </w:pPr>
    </w:p>
    <w:p w14:paraId="42ECD43B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73"/>
      </w:pPr>
      <w:r>
        <w:t xml:space="preserve">Department of Internal Affairs/Office of Ethnic Communities. </w:t>
      </w:r>
      <w:r>
        <w:rPr>
          <w:i/>
        </w:rPr>
        <w:t>Conversations with Aotearoa</w:t>
      </w:r>
      <w:r>
        <w:rPr>
          <w:i/>
          <w:spacing w:val="1"/>
        </w:rPr>
        <w:t xml:space="preserve"> </w:t>
      </w:r>
      <w:r>
        <w:rPr>
          <w:i/>
        </w:rPr>
        <w:t>New Zealand’s Muslim Communities: Growing Understanding after the Christchurch Terror</w:t>
      </w:r>
      <w:r>
        <w:rPr>
          <w:i/>
          <w:spacing w:val="1"/>
        </w:rPr>
        <w:t xml:space="preserve"> </w:t>
      </w:r>
      <w:r>
        <w:rPr>
          <w:i/>
        </w:rPr>
        <w:t>Attacks on M</w:t>
      </w:r>
      <w:r>
        <w:rPr>
          <w:i/>
        </w:rPr>
        <w:t>arch 15, 2019.</w:t>
      </w:r>
      <w:r>
        <w:t>; 2020.</w:t>
      </w:r>
      <w:r>
        <w:rPr>
          <w:spacing w:val="1"/>
        </w:rPr>
        <w:t xml:space="preserve"> </w:t>
      </w:r>
      <w:r>
        <w:rPr>
          <w:spacing w:val="-1"/>
        </w:rPr>
        <w:t>https://</w:t>
      </w:r>
      <w:hyperlink r:id="rId60">
        <w:r>
          <w:rPr>
            <w:spacing w:val="-1"/>
          </w:rPr>
          <w:t>www.ethniccommunities.govt.nz/assets/Resources/3d54832fdd/ConversationswithAote</w:t>
        </w:r>
      </w:hyperlink>
      <w:r>
        <w:t xml:space="preserve"> aroaNewZealandsMuslimcommunities.pdf</w:t>
      </w:r>
    </w:p>
    <w:p w14:paraId="1296A098" w14:textId="77777777" w:rsidR="002A14F8" w:rsidRDefault="002A14F8">
      <w:pPr>
        <w:pStyle w:val="BodyText"/>
        <w:spacing w:before="10"/>
        <w:rPr>
          <w:sz w:val="20"/>
        </w:rPr>
      </w:pPr>
    </w:p>
    <w:p w14:paraId="379BB3CC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727"/>
      </w:pPr>
      <w:r>
        <w:t>Bo</w:t>
      </w:r>
      <w:r>
        <w:t>on-Nanai J, Ponton V, Haxell A, Rasheed A. Through Pacific/Pasifika Lens to understand</w:t>
      </w:r>
      <w:r>
        <w:rPr>
          <w:spacing w:val="-52"/>
        </w:rPr>
        <w:t xml:space="preserve"> </w:t>
      </w:r>
      <w:r>
        <w:t xml:space="preserve">student’s experiences to promote success within New Zealand tertiary environment. </w:t>
      </w:r>
      <w:r>
        <w:rPr>
          <w:i/>
        </w:rPr>
        <w:t>SS</w:t>
      </w:r>
      <w:r>
        <w:t>.</w:t>
      </w:r>
      <w:r>
        <w:rPr>
          <w:spacing w:val="1"/>
        </w:rPr>
        <w:t xml:space="preserve"> </w:t>
      </w:r>
      <w:r>
        <w:t>2017;7(6).</w:t>
      </w:r>
      <w:r>
        <w:rPr>
          <w:spacing w:val="-1"/>
        </w:rPr>
        <w:t xml:space="preserve"> </w:t>
      </w:r>
      <w:r>
        <w:t>doi:10.17265/2159-5526/2017.06.001</w:t>
      </w:r>
    </w:p>
    <w:p w14:paraId="6B4D6502" w14:textId="77777777" w:rsidR="002A14F8" w:rsidRDefault="002A14F8">
      <w:pPr>
        <w:pStyle w:val="BodyText"/>
        <w:rPr>
          <w:sz w:val="21"/>
        </w:rPr>
      </w:pPr>
    </w:p>
    <w:p w14:paraId="1328FE02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916"/>
      </w:pPr>
      <w:r w:rsidRPr="00967B86">
        <w:rPr>
          <w:lang w:val="fr-CA"/>
        </w:rPr>
        <w:t xml:space="preserve">Theodore R, Taumoepeau M, Tustin K, </w:t>
      </w:r>
      <w:r w:rsidRPr="00967B86">
        <w:rPr>
          <w:lang w:val="fr-CA"/>
        </w:rPr>
        <w:t xml:space="preserve">et al. </w:t>
      </w:r>
      <w:r>
        <w:t>Pacific university graduates in New Zealand:</w:t>
      </w:r>
      <w:r>
        <w:rPr>
          <w:spacing w:val="-52"/>
        </w:rPr>
        <w:t xml:space="preserve"> </w:t>
      </w:r>
      <w:r>
        <w:t xml:space="preserve">what helps and hinders completion. </w:t>
      </w:r>
      <w:r>
        <w:rPr>
          <w:i/>
        </w:rPr>
        <w:t>AlterNative: An International Journal of Indigenous</w:t>
      </w:r>
      <w:r>
        <w:rPr>
          <w:i/>
          <w:spacing w:val="1"/>
        </w:rPr>
        <w:t xml:space="preserve"> </w:t>
      </w:r>
      <w:r>
        <w:rPr>
          <w:i/>
        </w:rPr>
        <w:t>Peoples</w:t>
      </w:r>
      <w:r>
        <w:t>.</w:t>
      </w:r>
      <w:r>
        <w:rPr>
          <w:spacing w:val="-1"/>
        </w:rPr>
        <w:t xml:space="preserve"> </w:t>
      </w:r>
      <w:r>
        <w:t>2018;14(2):138-146. doi:10.1177/1177180118764126</w:t>
      </w:r>
    </w:p>
    <w:p w14:paraId="26A54501" w14:textId="77777777" w:rsidR="002A14F8" w:rsidRDefault="002A14F8">
      <w:pPr>
        <w:pStyle w:val="BodyText"/>
        <w:spacing w:before="9"/>
        <w:rPr>
          <w:sz w:val="20"/>
        </w:rPr>
      </w:pPr>
    </w:p>
    <w:p w14:paraId="2D550CA2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28"/>
      </w:pPr>
      <w:r>
        <w:t xml:space="preserve">Rimoni F. Tama Samoa stories: Experiences and perceptions </w:t>
      </w:r>
      <w:r>
        <w:t>of identity, belonging and future</w:t>
      </w:r>
      <w:r>
        <w:rPr>
          <w:spacing w:val="-52"/>
        </w:rPr>
        <w:t xml:space="preserve"> </w:t>
      </w:r>
      <w:r>
        <w:t>aspirations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secondary</w:t>
      </w:r>
      <w:r>
        <w:rPr>
          <w:spacing w:val="-3"/>
        </w:rPr>
        <w:t xml:space="preserve"> </w:t>
      </w:r>
      <w:r>
        <w:t>school. Published online</w:t>
      </w:r>
      <w:r>
        <w:rPr>
          <w:spacing w:val="-2"/>
        </w:rPr>
        <w:t xml:space="preserve"> </w:t>
      </w:r>
      <w:r>
        <w:t>2016.</w:t>
      </w:r>
    </w:p>
    <w:p w14:paraId="32D27174" w14:textId="77777777" w:rsidR="002A14F8" w:rsidRDefault="002A14F8">
      <w:pPr>
        <w:pStyle w:val="BodyText"/>
        <w:spacing w:before="10"/>
        <w:rPr>
          <w:sz w:val="20"/>
        </w:rPr>
      </w:pPr>
    </w:p>
    <w:p w14:paraId="4E57375F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1199"/>
      </w:pPr>
      <w:r>
        <w:t>Reynolds M. Caring for classroom relationality in Pasifika education: A space-based</w:t>
      </w:r>
      <w:r>
        <w:rPr>
          <w:spacing w:val="1"/>
        </w:rPr>
        <w:t xml:space="preserve"> </w:t>
      </w:r>
      <w:r>
        <w:t>understanding.</w:t>
      </w:r>
      <w:r>
        <w:rPr>
          <w:spacing w:val="-2"/>
        </w:rPr>
        <w:t xml:space="preserve"> </w:t>
      </w:r>
      <w:r>
        <w:rPr>
          <w:i/>
        </w:rPr>
        <w:t>Waikato</w:t>
      </w:r>
      <w:r>
        <w:rPr>
          <w:i/>
          <w:spacing w:val="-4"/>
        </w:rPr>
        <w:t xml:space="preserve"> </w:t>
      </w:r>
      <w:r>
        <w:rPr>
          <w:i/>
        </w:rPr>
        <w:t>Journal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Education</w:t>
      </w:r>
      <w:r>
        <w:t>.</w:t>
      </w:r>
      <w:r>
        <w:rPr>
          <w:spacing w:val="-4"/>
        </w:rPr>
        <w:t xml:space="preserve"> </w:t>
      </w:r>
      <w:r>
        <w:t>2018;23(1).</w:t>
      </w:r>
      <w:r>
        <w:rPr>
          <w:spacing w:val="-4"/>
        </w:rPr>
        <w:t xml:space="preserve"> </w:t>
      </w:r>
      <w:r>
        <w:t>doi:10.15663/wje.v23i1.575</w:t>
      </w:r>
    </w:p>
    <w:p w14:paraId="02F41540" w14:textId="77777777" w:rsidR="002A14F8" w:rsidRDefault="002A14F8">
      <w:pPr>
        <w:pStyle w:val="BodyText"/>
        <w:spacing w:before="7"/>
        <w:rPr>
          <w:sz w:val="20"/>
        </w:rPr>
      </w:pPr>
    </w:p>
    <w:p w14:paraId="68DFF4A4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531"/>
      </w:pPr>
      <w:r>
        <w:t>Handjani M. Managing diversity to achieve ethnic inclusion in multi-ethnic secondary schools.</w:t>
      </w:r>
      <w:r>
        <w:rPr>
          <w:spacing w:val="-52"/>
        </w:rPr>
        <w:t xml:space="preserve"> </w:t>
      </w:r>
      <w:r>
        <w:t>Published online 2014.</w:t>
      </w:r>
      <w:r>
        <w:rPr>
          <w:spacing w:val="1"/>
        </w:rPr>
        <w:t xml:space="preserve"> </w:t>
      </w:r>
      <w:r>
        <w:t>https://pdfs.semanticscholar.org/f453/9dbf51480a3df1c4a27fffb95050de5ff325.pdf</w:t>
      </w:r>
    </w:p>
    <w:p w14:paraId="72B920DA" w14:textId="77777777" w:rsidR="002A14F8" w:rsidRDefault="002A14F8">
      <w:pPr>
        <w:pStyle w:val="BodyText"/>
        <w:rPr>
          <w:sz w:val="21"/>
        </w:rPr>
      </w:pPr>
    </w:p>
    <w:p w14:paraId="432E43E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587"/>
      </w:pPr>
      <w:r>
        <w:t>Stuart J. A qualitative analysis of Muslim young adults’ adaptation experiences in New</w:t>
      </w:r>
      <w:r>
        <w:rPr>
          <w:spacing w:val="1"/>
        </w:rPr>
        <w:t xml:space="preserve"> </w:t>
      </w:r>
      <w:r>
        <w:t>Zealand.</w:t>
      </w:r>
      <w:r>
        <w:rPr>
          <w:spacing w:val="-2"/>
        </w:rPr>
        <w:t xml:space="preserve"> </w:t>
      </w: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Muslim</w:t>
      </w:r>
      <w:r>
        <w:rPr>
          <w:i/>
          <w:spacing w:val="-6"/>
        </w:rPr>
        <w:t xml:space="preserve"> </w:t>
      </w:r>
      <w:r>
        <w:rPr>
          <w:i/>
        </w:rPr>
        <w:t>Mental</w:t>
      </w:r>
      <w:r>
        <w:rPr>
          <w:i/>
          <w:spacing w:val="-1"/>
        </w:rPr>
        <w:t xml:space="preserve"> </w:t>
      </w:r>
      <w:r>
        <w:rPr>
          <w:i/>
        </w:rPr>
        <w:t>Health</w:t>
      </w:r>
      <w:r>
        <w:t>.</w:t>
      </w:r>
      <w:r>
        <w:rPr>
          <w:spacing w:val="-2"/>
        </w:rPr>
        <w:t xml:space="preserve"> </w:t>
      </w:r>
      <w:r>
        <w:t>2014;8(2).</w:t>
      </w:r>
      <w:r>
        <w:rPr>
          <w:spacing w:val="-5"/>
        </w:rPr>
        <w:t xml:space="preserve"> </w:t>
      </w:r>
      <w:r>
        <w:t>doi:10.3998/jmmh.10381607.0008.203</w:t>
      </w:r>
    </w:p>
    <w:p w14:paraId="60EFE6BB" w14:textId="77777777" w:rsidR="002A14F8" w:rsidRDefault="002A14F8">
      <w:pPr>
        <w:pStyle w:val="BodyText"/>
        <w:spacing w:before="7"/>
        <w:rPr>
          <w:sz w:val="20"/>
        </w:rPr>
      </w:pPr>
    </w:p>
    <w:p w14:paraId="6E7390C3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1"/>
        <w:ind w:right="756"/>
      </w:pPr>
      <w:r w:rsidRPr="00967B86">
        <w:rPr>
          <w:lang w:val="fr-CA"/>
        </w:rPr>
        <w:t xml:space="preserve">Kapeli SA, Manuela S, Sibley CG. </w:t>
      </w:r>
      <w:r>
        <w:t>Perceived discrimination is associated with poo</w:t>
      </w:r>
      <w:r>
        <w:t>rer health</w:t>
      </w:r>
      <w:r>
        <w:rPr>
          <w:spacing w:val="-52"/>
        </w:rPr>
        <w:t xml:space="preserve"> </w:t>
      </w:r>
      <w:r>
        <w:t xml:space="preserve">and well‐being outcomes among Pacific peoples in New Zealand. </w:t>
      </w:r>
      <w:r>
        <w:rPr>
          <w:i/>
        </w:rPr>
        <w:t>J Community Appl Soc</w:t>
      </w:r>
      <w:r>
        <w:rPr>
          <w:i/>
          <w:spacing w:val="1"/>
        </w:rPr>
        <w:t xml:space="preserve"> </w:t>
      </w:r>
      <w:r>
        <w:rPr>
          <w:i/>
        </w:rPr>
        <w:t>Psychol</w:t>
      </w:r>
      <w:r>
        <w:t>.</w:t>
      </w:r>
      <w:r>
        <w:rPr>
          <w:spacing w:val="-1"/>
        </w:rPr>
        <w:t xml:space="preserve"> </w:t>
      </w:r>
      <w:r>
        <w:t>Published</w:t>
      </w:r>
      <w:r>
        <w:rPr>
          <w:spacing w:val="-3"/>
        </w:rPr>
        <w:t xml:space="preserve"> </w:t>
      </w:r>
      <w:r>
        <w:t>online</w:t>
      </w:r>
      <w:r>
        <w:rPr>
          <w:spacing w:val="-3"/>
        </w:rPr>
        <w:t xml:space="preserve"> </w:t>
      </w:r>
      <w:r>
        <w:t>August</w:t>
      </w:r>
      <w:r>
        <w:rPr>
          <w:spacing w:val="1"/>
        </w:rPr>
        <w:t xml:space="preserve"> </w:t>
      </w:r>
      <w:r>
        <w:t>16, 2019:casp.2433.</w:t>
      </w:r>
      <w:r>
        <w:rPr>
          <w:spacing w:val="1"/>
        </w:rPr>
        <w:t xml:space="preserve"> </w:t>
      </w:r>
      <w:r>
        <w:t>doi:10.1002/casp.2433</w:t>
      </w:r>
    </w:p>
    <w:p w14:paraId="62857A34" w14:textId="77777777" w:rsidR="002A14F8" w:rsidRDefault="002A14F8">
      <w:pPr>
        <w:sectPr w:rsidR="002A14F8">
          <w:pgSz w:w="11910" w:h="16840"/>
          <w:pgMar w:top="1340" w:right="940" w:bottom="1200" w:left="900" w:header="0" w:footer="1010" w:gutter="0"/>
          <w:cols w:space="720"/>
        </w:sectPr>
      </w:pPr>
    </w:p>
    <w:p w14:paraId="35AE165A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spacing w:before="75"/>
        <w:ind w:right="793"/>
      </w:pPr>
      <w:r>
        <w:lastRenderedPageBreak/>
        <w:t>Ash E, Tuffin K, Kahu E. Representing Islam: Experiences of women wea</w:t>
      </w:r>
      <w:r>
        <w:t>ring hijab in New</w:t>
      </w:r>
      <w:r>
        <w:rPr>
          <w:spacing w:val="-52"/>
        </w:rPr>
        <w:t xml:space="preserve"> </w:t>
      </w:r>
      <w:r>
        <w:t>Zealand.</w:t>
      </w:r>
      <w:r>
        <w:rPr>
          <w:spacing w:val="-1"/>
        </w:rPr>
        <w:t xml:space="preserve"> </w:t>
      </w:r>
      <w:r>
        <w:rPr>
          <w:i/>
        </w:rPr>
        <w:t>New Zealand Journal of</w:t>
      </w:r>
      <w:r>
        <w:rPr>
          <w:i/>
          <w:spacing w:val="1"/>
        </w:rPr>
        <w:t xml:space="preserve"> </w:t>
      </w:r>
      <w:r>
        <w:rPr>
          <w:i/>
        </w:rPr>
        <w:t>Psychology</w:t>
      </w:r>
      <w:r>
        <w:t>. 2019;48(1):114-121.</w:t>
      </w:r>
    </w:p>
    <w:p w14:paraId="729C3F07" w14:textId="77777777" w:rsidR="002A14F8" w:rsidRDefault="002A14F8">
      <w:pPr>
        <w:pStyle w:val="BodyText"/>
        <w:spacing w:before="11"/>
        <w:rPr>
          <w:sz w:val="20"/>
        </w:rPr>
      </w:pPr>
    </w:p>
    <w:p w14:paraId="6F2AE28E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631"/>
      </w:pPr>
      <w:r>
        <w:t xml:space="preserve">Adam Z, Ward C. Stress, religious coping and wellbeing in acculturating Muslims. </w:t>
      </w:r>
      <w:r>
        <w:rPr>
          <w:i/>
        </w:rPr>
        <w:t>Journal of</w:t>
      </w:r>
      <w:r>
        <w:rPr>
          <w:i/>
          <w:spacing w:val="-52"/>
        </w:rPr>
        <w:t xml:space="preserve"> </w:t>
      </w:r>
      <w:r>
        <w:rPr>
          <w:i/>
        </w:rPr>
        <w:t>Muslim</w:t>
      </w:r>
      <w:r>
        <w:rPr>
          <w:i/>
          <w:spacing w:val="-5"/>
        </w:rPr>
        <w:t xml:space="preserve"> </w:t>
      </w:r>
      <w:r>
        <w:rPr>
          <w:i/>
        </w:rPr>
        <w:t>Mental</w:t>
      </w:r>
      <w:r>
        <w:rPr>
          <w:i/>
          <w:spacing w:val="1"/>
        </w:rPr>
        <w:t xml:space="preserve"> </w:t>
      </w:r>
      <w:r>
        <w:rPr>
          <w:i/>
        </w:rPr>
        <w:t>Health</w:t>
      </w:r>
      <w:r>
        <w:t>.</w:t>
      </w:r>
      <w:r>
        <w:rPr>
          <w:spacing w:val="-1"/>
        </w:rPr>
        <w:t xml:space="preserve"> </w:t>
      </w:r>
      <w:r>
        <w:t>2016;10(2). doi:10.3998/jmmh.10381607.0010.201</w:t>
      </w:r>
    </w:p>
    <w:p w14:paraId="5B425AE5" w14:textId="77777777" w:rsidR="002A14F8" w:rsidRDefault="002A14F8">
      <w:pPr>
        <w:pStyle w:val="BodyText"/>
        <w:spacing w:before="10"/>
        <w:rPr>
          <w:sz w:val="20"/>
        </w:rPr>
      </w:pPr>
    </w:p>
    <w:p w14:paraId="1BA5E008" w14:textId="77777777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515"/>
      </w:pPr>
      <w:r>
        <w:t>Paterson J, Tautolo E-S, Iusitini L, Sisk R. Cultural, individual, and familial risk and protective</w:t>
      </w:r>
      <w:r>
        <w:rPr>
          <w:spacing w:val="-52"/>
        </w:rPr>
        <w:t xml:space="preserve"> </w:t>
      </w:r>
      <w:r>
        <w:t xml:space="preserve">factors associated with depressive symptoms in Pacific youth living in New Zealand. </w:t>
      </w:r>
      <w:r>
        <w:rPr>
          <w:i/>
        </w:rPr>
        <w:t>Social</w:t>
      </w:r>
      <w:r>
        <w:rPr>
          <w:i/>
          <w:spacing w:val="1"/>
        </w:rPr>
        <w:t xml:space="preserve"> </w:t>
      </w:r>
      <w:r>
        <w:rPr>
          <w:i/>
        </w:rPr>
        <w:t>Work</w:t>
      </w:r>
      <w:r>
        <w:rPr>
          <w:i/>
          <w:spacing w:val="-1"/>
        </w:rPr>
        <w:t xml:space="preserve"> </w:t>
      </w:r>
      <w:r>
        <w:rPr>
          <w:i/>
        </w:rPr>
        <w:t>in</w:t>
      </w:r>
      <w:r>
        <w:rPr>
          <w:i/>
          <w:spacing w:val="-1"/>
        </w:rPr>
        <w:t xml:space="preserve"> </w:t>
      </w:r>
      <w:r>
        <w:rPr>
          <w:i/>
        </w:rPr>
        <w:t>Mental</w:t>
      </w:r>
      <w:r>
        <w:rPr>
          <w:i/>
          <w:spacing w:val="1"/>
        </w:rPr>
        <w:t xml:space="preserve"> </w:t>
      </w:r>
      <w:r>
        <w:rPr>
          <w:i/>
        </w:rPr>
        <w:t>He</w:t>
      </w:r>
      <w:r>
        <w:rPr>
          <w:i/>
        </w:rPr>
        <w:t>alth</w:t>
      </w:r>
      <w:r>
        <w:t>.</w:t>
      </w:r>
      <w:r>
        <w:rPr>
          <w:spacing w:val="-4"/>
        </w:rPr>
        <w:t xml:space="preserve"> </w:t>
      </w:r>
      <w:r>
        <w:t>2018;16(6):728-745.</w:t>
      </w:r>
      <w:r>
        <w:rPr>
          <w:spacing w:val="-1"/>
        </w:rPr>
        <w:t xml:space="preserve"> </w:t>
      </w:r>
      <w:r>
        <w:t>doi:10.1080/15332985.2018.1497566</w:t>
      </w:r>
    </w:p>
    <w:p w14:paraId="45904868" w14:textId="77777777" w:rsidR="002A14F8" w:rsidRDefault="002A14F8">
      <w:pPr>
        <w:pStyle w:val="BodyText"/>
        <w:spacing w:before="10"/>
        <w:rPr>
          <w:sz w:val="20"/>
        </w:rPr>
      </w:pPr>
    </w:p>
    <w:p w14:paraId="4B368BC8" w14:textId="4D21FB65" w:rsidR="002A14F8" w:rsidRDefault="003458B8">
      <w:pPr>
        <w:pStyle w:val="ListParagraph"/>
        <w:numPr>
          <w:ilvl w:val="0"/>
          <w:numId w:val="1"/>
        </w:numPr>
        <w:tabs>
          <w:tab w:val="left" w:pos="1164"/>
          <w:tab w:val="left" w:pos="1165"/>
        </w:tabs>
        <w:ind w:right="890"/>
      </w:pPr>
      <w:r>
        <w:t>Ioane J, Lambie I, Percival T. A comparison of Pacific, Māori, and European violent youth</w:t>
      </w:r>
      <w:r>
        <w:rPr>
          <w:spacing w:val="-52"/>
        </w:rPr>
        <w:t xml:space="preserve"> </w:t>
      </w:r>
      <w:r>
        <w:t xml:space="preserve">offenders in New Zealand. </w:t>
      </w:r>
      <w:r>
        <w:rPr>
          <w:i/>
        </w:rPr>
        <w:t>Int J Offender Ther Comp Criminol</w:t>
      </w:r>
      <w:r>
        <w:t>. 2016;60(6):657-674.</w:t>
      </w:r>
      <w:r>
        <w:rPr>
          <w:spacing w:val="1"/>
        </w:rPr>
        <w:t xml:space="preserve"> </w:t>
      </w:r>
      <w:r>
        <w:t>doi:10.1177/0306624X1456</w:t>
      </w:r>
      <w:r>
        <w:t>0725</w:t>
      </w:r>
      <w:r w:rsidR="00967B86">
        <w:tab/>
      </w:r>
    </w:p>
    <w:sectPr w:rsidR="002A14F8">
      <w:pgSz w:w="11910" w:h="16840"/>
      <w:pgMar w:top="1340" w:right="940" w:bottom="1200" w:left="900" w:header="0" w:footer="10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46386" w14:textId="77777777" w:rsidR="003458B8" w:rsidRDefault="003458B8">
      <w:r>
        <w:separator/>
      </w:r>
    </w:p>
  </w:endnote>
  <w:endnote w:type="continuationSeparator" w:id="0">
    <w:p w14:paraId="02AEB1F5" w14:textId="77777777" w:rsidR="003458B8" w:rsidRDefault="00345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F0C37" w14:textId="0D08B948" w:rsidR="002A14F8" w:rsidRDefault="00967B86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D32D83A" wp14:editId="21F34773">
              <wp:simplePos x="0" y="0"/>
              <wp:positionH relativeFrom="page">
                <wp:posOffset>6469380</wp:posOffset>
              </wp:positionH>
              <wp:positionV relativeFrom="page">
                <wp:posOffset>9911080</wp:posOffset>
              </wp:positionV>
              <wp:extent cx="216535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9DE490" w14:textId="77777777" w:rsidR="002A14F8" w:rsidRDefault="003458B8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32D83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9.4pt;margin-top:780.4pt;width:17.0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Hz25wEAALUDAAAOAAAAZHJzL2Uyb0RvYy54bWysU9tu2zAMfR+wfxD0vtjOkK4z4hRdiw4D&#10;ugvQ7gNkWbKF2aJGKbGzrx8lx1m3vRV9EWiKPDo8PN5eTUPPDgq9AVvxYpVzpqyExti24t8f795c&#10;cuaDsI3owaqKH5XnV7vXr7ajK9UaOugbhYxArC9HV/EuBFdmmZedGoRfgVOWLjXgIAJ9Yps1KEZC&#10;H/psnecX2QjYOASpvKfs7XzJdwlfayXDV629CqyvOHEL6cR01vHMdltRtihcZ+SJhngGi0EYS4+e&#10;oW5FEGyP5j+owUgEDzqsJAwZaG2kSjPQNEX+zzQPnXAqzULieHeWyb8crPxy+IbMNBVfc2bFQCt6&#10;VFNgH2BiRVRndL6kogdHZWGiNG05TerdPcgfnlm46YRt1TUijJ0SDbFLndmT1hnHR5B6/AwNPSP2&#10;ARLQpHGI0pEYjNBpS8fzZiIVScl1cbF5u+FM0lVxmb9/t4ncMlEuzQ59+KhgYDGoONLiE7g43Psw&#10;ly4l8S0Ld6bv0/J7+1eCMGMmkY98Z+ZhqqeTGDU0RxoDYfYSeZ+CDvAXZyP5qOL+516g4qz/ZEmK&#10;aLolwCWol0BYSa0VD5zN4U2Yzbl3aNqOkGexLVyTXNqkUaKuM4sTT/JGEuPk42i+p9+p6s/ftvsN&#10;AAD//wMAUEsDBBQABgAIAAAAIQAoAJjh4QAAAA8BAAAPAAAAZHJzL2Rvd25yZXYueG1sTI/BTsMw&#10;EETvSPyDtUjcqN2iRkmIU1UITkiINBw4OrGbWI3XIXbb8PdsTnCb2R3Nvi12sxvYxUzBepSwXglg&#10;BluvLXYSPuvXhxRYiAq1GjwaCT8mwK68vSlUrv0VK3M5xI5RCYZcSehjHHPOQ9sbp8LKjwZpd/ST&#10;U5Hs1HE9qSuVu4FvhEi4UxbpQq9G89yb9nQ4Own7L6xe7Pd781EdK1vXmcC35CTl/d28fwIWzRz/&#10;wrDgEzqUxNT4M+rABvJinRJ7JLVNBKklI7abDFizzNLsEXhZ8P9/lL8AAAD//wMAUEsBAi0AFAAG&#10;AAgAAAAhALaDOJL+AAAA4QEAABMAAAAAAAAAAAAAAAAAAAAAAFtDb250ZW50X1R5cGVzXS54bWxQ&#10;SwECLQAUAAYACAAAACEAOP0h/9YAAACUAQAACwAAAAAAAAAAAAAAAAAvAQAAX3JlbHMvLnJlbHNQ&#10;SwECLQAUAAYACAAAACEAfBB89ucBAAC1AwAADgAAAAAAAAAAAAAAAAAuAgAAZHJzL2Uyb0RvYy54&#10;bWxQSwECLQAUAAYACAAAACEAKACY4eEAAAAPAQAADwAAAAAAAAAAAAAAAABBBAAAZHJzL2Rvd25y&#10;ZXYueG1sUEsFBgAAAAAEAAQA8wAAAE8FAAAAAA==&#10;" filled="f" stroked="f">
              <v:textbox inset="0,0,0,0">
                <w:txbxContent>
                  <w:p w14:paraId="429DE490" w14:textId="77777777" w:rsidR="002A14F8" w:rsidRDefault="003458B8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89B9B" w14:textId="77777777" w:rsidR="003458B8" w:rsidRDefault="003458B8">
      <w:r>
        <w:separator/>
      </w:r>
    </w:p>
  </w:footnote>
  <w:footnote w:type="continuationSeparator" w:id="0">
    <w:p w14:paraId="15A5CC70" w14:textId="77777777" w:rsidR="003458B8" w:rsidRDefault="003458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857412"/>
    <w:multiLevelType w:val="hybridMultilevel"/>
    <w:tmpl w:val="3314CEF4"/>
    <w:lvl w:ilvl="0" w:tplc="DB4EED4E">
      <w:start w:val="1"/>
      <w:numFmt w:val="decimal"/>
      <w:lvlText w:val="%1."/>
      <w:lvlJc w:val="left"/>
      <w:pPr>
        <w:ind w:left="1164" w:hanging="6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NZ" w:eastAsia="en-US" w:bidi="ar-SA"/>
      </w:rPr>
    </w:lvl>
    <w:lvl w:ilvl="1" w:tplc="60EEF816">
      <w:numFmt w:val="bullet"/>
      <w:lvlText w:val="•"/>
      <w:lvlJc w:val="left"/>
      <w:pPr>
        <w:ind w:left="2050" w:hanging="624"/>
      </w:pPr>
      <w:rPr>
        <w:rFonts w:hint="default"/>
        <w:lang w:val="en-NZ" w:eastAsia="en-US" w:bidi="ar-SA"/>
      </w:rPr>
    </w:lvl>
    <w:lvl w:ilvl="2" w:tplc="06EAAFE2">
      <w:numFmt w:val="bullet"/>
      <w:lvlText w:val="•"/>
      <w:lvlJc w:val="left"/>
      <w:pPr>
        <w:ind w:left="2941" w:hanging="624"/>
      </w:pPr>
      <w:rPr>
        <w:rFonts w:hint="default"/>
        <w:lang w:val="en-NZ" w:eastAsia="en-US" w:bidi="ar-SA"/>
      </w:rPr>
    </w:lvl>
    <w:lvl w:ilvl="3" w:tplc="E2CC5DAE">
      <w:numFmt w:val="bullet"/>
      <w:lvlText w:val="•"/>
      <w:lvlJc w:val="left"/>
      <w:pPr>
        <w:ind w:left="3831" w:hanging="624"/>
      </w:pPr>
      <w:rPr>
        <w:rFonts w:hint="default"/>
        <w:lang w:val="en-NZ" w:eastAsia="en-US" w:bidi="ar-SA"/>
      </w:rPr>
    </w:lvl>
    <w:lvl w:ilvl="4" w:tplc="3DE4C3AE">
      <w:numFmt w:val="bullet"/>
      <w:lvlText w:val="•"/>
      <w:lvlJc w:val="left"/>
      <w:pPr>
        <w:ind w:left="4722" w:hanging="624"/>
      </w:pPr>
      <w:rPr>
        <w:rFonts w:hint="default"/>
        <w:lang w:val="en-NZ" w:eastAsia="en-US" w:bidi="ar-SA"/>
      </w:rPr>
    </w:lvl>
    <w:lvl w:ilvl="5" w:tplc="6A18B24C">
      <w:numFmt w:val="bullet"/>
      <w:lvlText w:val="•"/>
      <w:lvlJc w:val="left"/>
      <w:pPr>
        <w:ind w:left="5613" w:hanging="624"/>
      </w:pPr>
      <w:rPr>
        <w:rFonts w:hint="default"/>
        <w:lang w:val="en-NZ" w:eastAsia="en-US" w:bidi="ar-SA"/>
      </w:rPr>
    </w:lvl>
    <w:lvl w:ilvl="6" w:tplc="99A6FCCC">
      <w:numFmt w:val="bullet"/>
      <w:lvlText w:val="•"/>
      <w:lvlJc w:val="left"/>
      <w:pPr>
        <w:ind w:left="6503" w:hanging="624"/>
      </w:pPr>
      <w:rPr>
        <w:rFonts w:hint="default"/>
        <w:lang w:val="en-NZ" w:eastAsia="en-US" w:bidi="ar-SA"/>
      </w:rPr>
    </w:lvl>
    <w:lvl w:ilvl="7" w:tplc="CDAE0274">
      <w:numFmt w:val="bullet"/>
      <w:lvlText w:val="•"/>
      <w:lvlJc w:val="left"/>
      <w:pPr>
        <w:ind w:left="7394" w:hanging="624"/>
      </w:pPr>
      <w:rPr>
        <w:rFonts w:hint="default"/>
        <w:lang w:val="en-NZ" w:eastAsia="en-US" w:bidi="ar-SA"/>
      </w:rPr>
    </w:lvl>
    <w:lvl w:ilvl="8" w:tplc="96E8A9FC">
      <w:numFmt w:val="bullet"/>
      <w:lvlText w:val="•"/>
      <w:lvlJc w:val="left"/>
      <w:pPr>
        <w:ind w:left="8285" w:hanging="624"/>
      </w:pPr>
      <w:rPr>
        <w:rFonts w:hint="default"/>
        <w:lang w:val="en-NZ" w:eastAsia="en-US" w:bidi="ar-SA"/>
      </w:rPr>
    </w:lvl>
  </w:abstractNum>
  <w:abstractNum w:abstractNumId="1" w15:restartNumberingAfterBreak="0">
    <w:nsid w:val="50F930ED"/>
    <w:multiLevelType w:val="hybridMultilevel"/>
    <w:tmpl w:val="65805110"/>
    <w:lvl w:ilvl="0" w:tplc="502C27B2">
      <w:start w:val="1"/>
      <w:numFmt w:val="decimal"/>
      <w:lvlText w:val="%1."/>
      <w:lvlJc w:val="left"/>
      <w:pPr>
        <w:ind w:left="1260" w:hanging="36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1"/>
        <w:szCs w:val="21"/>
        <w:lang w:val="en-NZ" w:eastAsia="en-US" w:bidi="ar-SA"/>
      </w:rPr>
    </w:lvl>
    <w:lvl w:ilvl="1" w:tplc="2324A30A">
      <w:numFmt w:val="bullet"/>
      <w:lvlText w:val="•"/>
      <w:lvlJc w:val="left"/>
      <w:pPr>
        <w:ind w:left="2140" w:hanging="360"/>
      </w:pPr>
      <w:rPr>
        <w:rFonts w:hint="default"/>
        <w:lang w:val="en-NZ" w:eastAsia="en-US" w:bidi="ar-SA"/>
      </w:rPr>
    </w:lvl>
    <w:lvl w:ilvl="2" w:tplc="53F69986">
      <w:numFmt w:val="bullet"/>
      <w:lvlText w:val="•"/>
      <w:lvlJc w:val="left"/>
      <w:pPr>
        <w:ind w:left="3021" w:hanging="360"/>
      </w:pPr>
      <w:rPr>
        <w:rFonts w:hint="default"/>
        <w:lang w:val="en-NZ" w:eastAsia="en-US" w:bidi="ar-SA"/>
      </w:rPr>
    </w:lvl>
    <w:lvl w:ilvl="3" w:tplc="54A6C482">
      <w:numFmt w:val="bullet"/>
      <w:lvlText w:val="•"/>
      <w:lvlJc w:val="left"/>
      <w:pPr>
        <w:ind w:left="3901" w:hanging="360"/>
      </w:pPr>
      <w:rPr>
        <w:rFonts w:hint="default"/>
        <w:lang w:val="en-NZ" w:eastAsia="en-US" w:bidi="ar-SA"/>
      </w:rPr>
    </w:lvl>
    <w:lvl w:ilvl="4" w:tplc="2898957E">
      <w:numFmt w:val="bullet"/>
      <w:lvlText w:val="•"/>
      <w:lvlJc w:val="left"/>
      <w:pPr>
        <w:ind w:left="4782" w:hanging="360"/>
      </w:pPr>
      <w:rPr>
        <w:rFonts w:hint="default"/>
        <w:lang w:val="en-NZ" w:eastAsia="en-US" w:bidi="ar-SA"/>
      </w:rPr>
    </w:lvl>
    <w:lvl w:ilvl="5" w:tplc="B01CC164">
      <w:numFmt w:val="bullet"/>
      <w:lvlText w:val="•"/>
      <w:lvlJc w:val="left"/>
      <w:pPr>
        <w:ind w:left="5663" w:hanging="360"/>
      </w:pPr>
      <w:rPr>
        <w:rFonts w:hint="default"/>
        <w:lang w:val="en-NZ" w:eastAsia="en-US" w:bidi="ar-SA"/>
      </w:rPr>
    </w:lvl>
    <w:lvl w:ilvl="6" w:tplc="9AD08588">
      <w:numFmt w:val="bullet"/>
      <w:lvlText w:val="•"/>
      <w:lvlJc w:val="left"/>
      <w:pPr>
        <w:ind w:left="6543" w:hanging="360"/>
      </w:pPr>
      <w:rPr>
        <w:rFonts w:hint="default"/>
        <w:lang w:val="en-NZ" w:eastAsia="en-US" w:bidi="ar-SA"/>
      </w:rPr>
    </w:lvl>
    <w:lvl w:ilvl="7" w:tplc="343E9508">
      <w:numFmt w:val="bullet"/>
      <w:lvlText w:val="•"/>
      <w:lvlJc w:val="left"/>
      <w:pPr>
        <w:ind w:left="7424" w:hanging="360"/>
      </w:pPr>
      <w:rPr>
        <w:rFonts w:hint="default"/>
        <w:lang w:val="en-NZ" w:eastAsia="en-US" w:bidi="ar-SA"/>
      </w:rPr>
    </w:lvl>
    <w:lvl w:ilvl="8" w:tplc="DE6A0744">
      <w:numFmt w:val="bullet"/>
      <w:lvlText w:val="•"/>
      <w:lvlJc w:val="left"/>
      <w:pPr>
        <w:ind w:left="8305" w:hanging="360"/>
      </w:pPr>
      <w:rPr>
        <w:rFonts w:hint="default"/>
        <w:lang w:val="en-NZ" w:eastAsia="en-US" w:bidi="ar-SA"/>
      </w:rPr>
    </w:lvl>
  </w:abstractNum>
  <w:abstractNum w:abstractNumId="2" w15:restartNumberingAfterBreak="0">
    <w:nsid w:val="63120726"/>
    <w:multiLevelType w:val="hybridMultilevel"/>
    <w:tmpl w:val="DE609B54"/>
    <w:lvl w:ilvl="0" w:tplc="750262B6">
      <w:numFmt w:val="bullet"/>
      <w:lvlText w:val=""/>
      <w:lvlJc w:val="left"/>
      <w:pPr>
        <w:ind w:left="1260" w:hanging="360"/>
      </w:pPr>
      <w:rPr>
        <w:rFonts w:ascii="Symbol" w:eastAsia="Symbol" w:hAnsi="Symbol" w:cs="Symbol" w:hint="default"/>
        <w:w w:val="100"/>
        <w:sz w:val="21"/>
        <w:szCs w:val="21"/>
        <w:lang w:val="en-NZ" w:eastAsia="en-US" w:bidi="ar-SA"/>
      </w:rPr>
    </w:lvl>
    <w:lvl w:ilvl="1" w:tplc="6DACC058">
      <w:numFmt w:val="bullet"/>
      <w:lvlText w:val="•"/>
      <w:lvlJc w:val="left"/>
      <w:pPr>
        <w:ind w:left="2140" w:hanging="360"/>
      </w:pPr>
      <w:rPr>
        <w:rFonts w:hint="default"/>
        <w:lang w:val="en-NZ" w:eastAsia="en-US" w:bidi="ar-SA"/>
      </w:rPr>
    </w:lvl>
    <w:lvl w:ilvl="2" w:tplc="7B2CD938">
      <w:numFmt w:val="bullet"/>
      <w:lvlText w:val="•"/>
      <w:lvlJc w:val="left"/>
      <w:pPr>
        <w:ind w:left="3021" w:hanging="360"/>
      </w:pPr>
      <w:rPr>
        <w:rFonts w:hint="default"/>
        <w:lang w:val="en-NZ" w:eastAsia="en-US" w:bidi="ar-SA"/>
      </w:rPr>
    </w:lvl>
    <w:lvl w:ilvl="3" w:tplc="D11E0BB4">
      <w:numFmt w:val="bullet"/>
      <w:lvlText w:val="•"/>
      <w:lvlJc w:val="left"/>
      <w:pPr>
        <w:ind w:left="3901" w:hanging="360"/>
      </w:pPr>
      <w:rPr>
        <w:rFonts w:hint="default"/>
        <w:lang w:val="en-NZ" w:eastAsia="en-US" w:bidi="ar-SA"/>
      </w:rPr>
    </w:lvl>
    <w:lvl w:ilvl="4" w:tplc="5BE4C63A">
      <w:numFmt w:val="bullet"/>
      <w:lvlText w:val="•"/>
      <w:lvlJc w:val="left"/>
      <w:pPr>
        <w:ind w:left="4782" w:hanging="360"/>
      </w:pPr>
      <w:rPr>
        <w:rFonts w:hint="default"/>
        <w:lang w:val="en-NZ" w:eastAsia="en-US" w:bidi="ar-SA"/>
      </w:rPr>
    </w:lvl>
    <w:lvl w:ilvl="5" w:tplc="119ABCCA">
      <w:numFmt w:val="bullet"/>
      <w:lvlText w:val="•"/>
      <w:lvlJc w:val="left"/>
      <w:pPr>
        <w:ind w:left="5663" w:hanging="360"/>
      </w:pPr>
      <w:rPr>
        <w:rFonts w:hint="default"/>
        <w:lang w:val="en-NZ" w:eastAsia="en-US" w:bidi="ar-SA"/>
      </w:rPr>
    </w:lvl>
    <w:lvl w:ilvl="6" w:tplc="1B805AEE">
      <w:numFmt w:val="bullet"/>
      <w:lvlText w:val="•"/>
      <w:lvlJc w:val="left"/>
      <w:pPr>
        <w:ind w:left="6543" w:hanging="360"/>
      </w:pPr>
      <w:rPr>
        <w:rFonts w:hint="default"/>
        <w:lang w:val="en-NZ" w:eastAsia="en-US" w:bidi="ar-SA"/>
      </w:rPr>
    </w:lvl>
    <w:lvl w:ilvl="7" w:tplc="CC0EC41A">
      <w:numFmt w:val="bullet"/>
      <w:lvlText w:val="•"/>
      <w:lvlJc w:val="left"/>
      <w:pPr>
        <w:ind w:left="7424" w:hanging="360"/>
      </w:pPr>
      <w:rPr>
        <w:rFonts w:hint="default"/>
        <w:lang w:val="en-NZ" w:eastAsia="en-US" w:bidi="ar-SA"/>
      </w:rPr>
    </w:lvl>
    <w:lvl w:ilvl="8" w:tplc="A6DA9690">
      <w:numFmt w:val="bullet"/>
      <w:lvlText w:val="•"/>
      <w:lvlJc w:val="left"/>
      <w:pPr>
        <w:ind w:left="8305" w:hanging="360"/>
      </w:pPr>
      <w:rPr>
        <w:rFonts w:hint="default"/>
        <w:lang w:val="en-NZ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4F8"/>
    <w:rsid w:val="002A14F8"/>
    <w:rsid w:val="003458B8"/>
    <w:rsid w:val="0096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ABB57A"/>
  <w15:docId w15:val="{179712AF-1427-4158-B39A-0861710A4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n-NZ"/>
    </w:rPr>
  </w:style>
  <w:style w:type="paragraph" w:styleId="Heading1">
    <w:name w:val="heading 1"/>
    <w:basedOn w:val="Normal"/>
    <w:uiPriority w:val="9"/>
    <w:qFormat/>
    <w:pPr>
      <w:spacing w:before="59"/>
      <w:ind w:left="540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862" w:right="821"/>
      <w:jc w:val="center"/>
      <w:outlineLvl w:val="1"/>
    </w:pPr>
    <w:rPr>
      <w:rFonts w:ascii="Calibri Light" w:eastAsia="Calibri Light" w:hAnsi="Calibri Light" w:cs="Calibri Light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19"/>
      <w:ind w:left="540"/>
    </w:pPr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862" w:right="814"/>
      <w:jc w:val="center"/>
    </w:pPr>
    <w:rPr>
      <w:rFonts w:ascii="Calibri Light" w:eastAsia="Calibri Light" w:hAnsi="Calibri Light" w:cs="Calibri Light"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1164" w:hanging="624"/>
    </w:pPr>
  </w:style>
  <w:style w:type="paragraph" w:customStyle="1" w:styleId="TableParagraph">
    <w:name w:val="Table Paragraph"/>
    <w:basedOn w:val="Normal"/>
    <w:uiPriority w:val="1"/>
    <w:qFormat/>
    <w:rPr>
      <w:rFonts w:ascii="Calibri Light" w:eastAsia="Calibri Light" w:hAnsi="Calibri Light" w:cs="Calibri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hyperlink" Target="http://www.migrationpolicy.org/print/16581" TargetMode="External"/><Relationship Id="rId26" Type="http://schemas.openxmlformats.org/officeDocument/2006/relationships/hyperlink" Target="http://www.occ.org.nz/assets/Uploads/What-makes-a-good-life-report-OCC-OT-2019-" TargetMode="External"/><Relationship Id="rId39" Type="http://schemas.openxmlformats.org/officeDocument/2006/relationships/hyperlink" Target="http://www.occ.org.nz/assets/Uploads/HardPlaceToBeHappy-FINAL.pdf" TargetMode="External"/><Relationship Id="rId21" Type="http://schemas.openxmlformats.org/officeDocument/2006/relationships/hyperlink" Target="http://www.hpa.org.nz/sites/default/files/Mental-" TargetMode="External"/><Relationship Id="rId34" Type="http://schemas.openxmlformats.org/officeDocument/2006/relationships/hyperlink" Target="http://www.salvationarmy.org.nz/sites/default/files/uploads/20180522aspire_2017_report_offi" TargetMode="External"/><Relationship Id="rId42" Type="http://schemas.openxmlformats.org/officeDocument/2006/relationships/hyperlink" Target="http://www.msd.govt.nz/documents/about-msd-and-our-work/work-" TargetMode="External"/><Relationship Id="rId47" Type="http://schemas.openxmlformats.org/officeDocument/2006/relationships/hyperlink" Target="http://www.odi.govt.nz/assets/Uploads/ODI-Disability-" TargetMode="External"/><Relationship Id="rId50" Type="http://schemas.openxmlformats.org/officeDocument/2006/relationships/hyperlink" Target="http://www.superseniors.msd.govt.nz/documents/better-later-life/better-later-life-strategy.pdf" TargetMode="External"/><Relationship Id="rId55" Type="http://schemas.openxmlformats.org/officeDocument/2006/relationships/hyperlink" Target="http://www.horowhenua.govt.nz/Community/Older-People" TargetMode="Externa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9" Type="http://schemas.openxmlformats.org/officeDocument/2006/relationships/hyperlink" Target="http://www.dawsonera.com/depp/reader/protected/external/AbstractView/S9780230101814" TargetMode="External"/><Relationship Id="rId11" Type="http://schemas.openxmlformats.org/officeDocument/2006/relationships/hyperlink" Target="http://www.caddanz.org.nz/" TargetMode="External"/><Relationship Id="rId24" Type="http://schemas.openxmlformats.org/officeDocument/2006/relationships/hyperlink" Target="http://www.kahukura.co.nz/wp-content/uploads/2017/07/Building-Rainbow-Communities-" TargetMode="External"/><Relationship Id="rId32" Type="http://schemas.openxmlformats.org/officeDocument/2006/relationships/hyperlink" Target="http://www.fmhs.auckland.ac.nz/en/faculty/adolescent-health-" TargetMode="External"/><Relationship Id="rId37" Type="http://schemas.openxmlformats.org/officeDocument/2006/relationships/hyperlink" Target="http://www.orangatamariki.govt.nz/assets/Uploads/Young-Peoples-" TargetMode="External"/><Relationship Id="rId40" Type="http://schemas.openxmlformats.org/officeDocument/2006/relationships/hyperlink" Target="http://www.ccsdisabilityaction.org.nz/advocacy/submissions/" TargetMode="External"/><Relationship Id="rId45" Type="http://schemas.openxmlformats.org/officeDocument/2006/relationships/hyperlink" Target="http://www.msd.govt.nz/documents/what-we-can-do/disability-" TargetMode="External"/><Relationship Id="rId53" Type="http://schemas.openxmlformats.org/officeDocument/2006/relationships/hyperlink" Target="http://www.hamilton.govt.nz/our-" TargetMode="External"/><Relationship Id="rId58" Type="http://schemas.openxmlformats.org/officeDocument/2006/relationships/hyperlink" Target="http://www.researchgate.net/publication/338844416_Voices_of_Chinese_international_stude" TargetMode="External"/><Relationship Id="rId5" Type="http://schemas.openxmlformats.org/officeDocument/2006/relationships/footnotes" Target="footnotes.xml"/><Relationship Id="rId61" Type="http://schemas.openxmlformats.org/officeDocument/2006/relationships/fontTable" Target="fontTable.xml"/><Relationship Id="rId19" Type="http://schemas.openxmlformats.org/officeDocument/2006/relationships/hyperlink" Target="http://www.msd.govt.nz/documents/about-msd-and-our-" TargetMode="External"/><Relationship Id="rId14" Type="http://schemas.openxmlformats.org/officeDocument/2006/relationships/image" Target="media/image5.jpeg"/><Relationship Id="rId22" Type="http://schemas.openxmlformats.org/officeDocument/2006/relationships/hyperlink" Target="http://www.stats.govt.nz/news/new-sexual-identity-wellbeing-data-reflects-diversity-of-new-" TargetMode="External"/><Relationship Id="rId27" Type="http://schemas.openxmlformats.org/officeDocument/2006/relationships/hyperlink" Target="http://researcharchive.vuw.ac.nz/bitstream/handle/10063/8507/thesis_access.pdf?sequence=1" TargetMode="External"/><Relationship Id="rId30" Type="http://schemas.openxmlformats.org/officeDocument/2006/relationships/hyperlink" Target="http://www.myd.govt.nz/documents/policy-and-research/policy-document-" TargetMode="External"/><Relationship Id="rId35" Type="http://schemas.openxmlformats.org/officeDocument/2006/relationships/hyperlink" Target="http://www.researchgate.net/profile/Emma_Edwards3/publication/335754596_WE%27RE_ALL_" TargetMode="External"/><Relationship Id="rId43" Type="http://schemas.openxmlformats.org/officeDocument/2006/relationships/hyperlink" Target="http://www.hrc.co.nz/files/4314/2397/6079/web-" TargetMode="External"/><Relationship Id="rId48" Type="http://schemas.openxmlformats.org/officeDocument/2006/relationships/hyperlink" Target="http://www.ageconcern.org.nz/files/img/TowardsAPositiveFutureWeb.pdf" TargetMode="External"/><Relationship Id="rId56" Type="http://schemas.openxmlformats.org/officeDocument/2006/relationships/hyperlink" Target="http://www.superseniors.msd.govt.nz/documents/ageing-population-consultation/ageing-" TargetMode="External"/><Relationship Id="rId8" Type="http://schemas.openxmlformats.org/officeDocument/2006/relationships/image" Target="media/image2.jpeg"/><Relationship Id="rId51" Type="http://schemas.openxmlformats.org/officeDocument/2006/relationships/hyperlink" Target="http://www.nzherald.co.nz/nz/news/article.cfm?c_id=1&amp;objectid=12022462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waikato.ac.nz/nidea" TargetMode="External"/><Relationship Id="rId17" Type="http://schemas.openxmlformats.org/officeDocument/2006/relationships/hyperlink" Target="http://www.hrc.co.nz/files/2914/2409/4608/HRC-" TargetMode="External"/><Relationship Id="rId25" Type="http://schemas.openxmlformats.org/officeDocument/2006/relationships/hyperlink" Target="http://researcharchive.vuw.ac.nz/bitstream/handle/10063/6564/thesis_access.pdf?sequence=1" TargetMode="External"/><Relationship Id="rId33" Type="http://schemas.openxmlformats.org/officeDocument/2006/relationships/hyperlink" Target="http://www.orangatamariki.govt.nz/assets/Uploads/Research/Latest-research/What-makes-a-" TargetMode="External"/><Relationship Id="rId38" Type="http://schemas.openxmlformats.org/officeDocument/2006/relationships/hyperlink" Target="http://www.classificationoffice.govt.nz/assets/PDFs/report-yp-sv-stage-3-2017.pdf" TargetMode="External"/><Relationship Id="rId46" Type="http://schemas.openxmlformats.org/officeDocument/2006/relationships/hyperlink" Target="http://www.odi.govt.nz/assets/New-Zealand-Disability-Strategy-files/pdf-nz-disability-" TargetMode="External"/><Relationship Id="rId59" Type="http://schemas.openxmlformats.org/officeDocument/2006/relationships/hyperlink" Target="http://researcharchive.vuw.ac.nz/bitstream/handle/10063/4967/thesis.pdf?sequence=1" TargetMode="External"/><Relationship Id="rId20" Type="http://schemas.openxmlformats.org/officeDocument/2006/relationships/hyperlink" Target="http://www.mentalhealth.org.nz/assets/Our-Work/policy-advocacy/Rainbow-" TargetMode="External"/><Relationship Id="rId41" Type="http://schemas.openxmlformats.org/officeDocument/2006/relationships/hyperlink" Target="http://www.ccsdisabilityaction.org.nz/news-and-views/news/carers-strategy-" TargetMode="External"/><Relationship Id="rId54" Type="http://schemas.openxmlformats.org/officeDocument/2006/relationships/hyperlink" Target="http://www.tasman.govt.nz/my-council/key-documents/more/age-friendly-policy/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6.jpeg"/><Relationship Id="rId23" Type="http://schemas.openxmlformats.org/officeDocument/2006/relationships/hyperlink" Target="http://www.msd.govt.nz/documents/about-msd-and-our-work/newsroom/lgbti-release-" TargetMode="External"/><Relationship Id="rId28" Type="http://schemas.openxmlformats.org/officeDocument/2006/relationships/hyperlink" Target="http://www.hrc.co.nz/files/9615/2270/4142/HRC_Intersex_Roundtable_2017.pdf" TargetMode="External"/><Relationship Id="rId36" Type="http://schemas.openxmlformats.org/officeDocument/2006/relationships/hyperlink" Target="http://www.msd.govt.nz/documents/about-" TargetMode="External"/><Relationship Id="rId49" Type="http://schemas.openxmlformats.org/officeDocument/2006/relationships/hyperlink" Target="http://www.superseniors.msd.govt.nz/documents/attitudes-towards-ageing-research/attitudes-" TargetMode="External"/><Relationship Id="rId57" Type="http://schemas.openxmlformats.org/officeDocument/2006/relationships/hyperlink" Target="http://www.superseniors.msd.govt.nz/documents/ageing-population-consultation/better-later-" TargetMode="External"/><Relationship Id="rId10" Type="http://schemas.openxmlformats.org/officeDocument/2006/relationships/hyperlink" Target="mailto:caddanz@waikato.ac.nz" TargetMode="External"/><Relationship Id="rId31" Type="http://schemas.openxmlformats.org/officeDocument/2006/relationships/hyperlink" Target="http://researcharchive.vuw.ac.nz/bitstream/handle/10063/71/thesis.pdf?sequence=2" TargetMode="External"/><Relationship Id="rId44" Type="http://schemas.openxmlformats.org/officeDocument/2006/relationships/hyperlink" Target="http://www.hrc.co.nz/files/9414/2397/6962/web-Access.pdf" TargetMode="External"/><Relationship Id="rId52" Type="http://schemas.openxmlformats.org/officeDocument/2006/relationships/hyperlink" Target="http://www.health.govt.nz/system/files/documents/publications/summary-consultation-health-" TargetMode="External"/><Relationship Id="rId60" Type="http://schemas.openxmlformats.org/officeDocument/2006/relationships/hyperlink" Target="http://www.ethniccommunities.govt.nz/assets/Resources/3d54832fdd/ConversationswithAot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39</Pages>
  <Words>18653</Words>
  <Characters>106328</Characters>
  <Application>Microsoft Office Word</Application>
  <DocSecurity>0</DocSecurity>
  <Lines>886</Lines>
  <Paragraphs>249</Paragraphs>
  <ScaleCrop>false</ScaleCrop>
  <Company/>
  <LinksUpToDate>false</LinksUpToDate>
  <CharactersWithSpaces>124732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Rogena Sterling</dc:creator>
  <cp:lastModifiedBy>Tim Foote</cp:lastModifiedBy>
  <cp:revision>2</cp:revision>
  <dcterms:created xsi:type="dcterms:W3CDTF">2021-04-26T19:07:00Z</dcterms:created>
  <dcterms:modified xsi:type="dcterms:W3CDTF">2021-04-26T19:07:00Z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2021-04-26T00:00:00Z</vt:filetime>
  </property>
</Properties>
</file>